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440101-2024-19970</w:t>
      </w:r>
    </w:p>
    <w:p>
      <w:pPr>
        <w:pStyle w:val="null3"/>
        <w:jc w:val="center"/>
        <w:outlineLvl w:val="3"/>
      </w:pPr>
      <w:r>
        <w:rPr>
          <w:sz w:val="24"/>
          <w:b/>
        </w:rPr>
        <w:t>采购项目编号：</w:t>
      </w:r>
      <w:r>
        <w:rPr>
          <w:sz w:val="24"/>
          <w:b/>
        </w:rPr>
        <w:t>3587-2412GZG10908</w:t>
      </w:r>
    </w:p>
    <w:p>
      <w:pPr>
        <w:pStyle w:val="null3"/>
        <w:jc w:val="center"/>
        <w:outlineLvl w:val="3"/>
      </w:pPr>
      <w:r>
        <w:rPr>
          <w:sz w:val="24"/>
          <w:b/>
        </w:rPr>
        <w:t>项目名称：</w:t>
      </w:r>
      <w:r>
        <w:rPr>
          <w:sz w:val="24"/>
          <w:b/>
        </w:rPr>
        <w:t>广州医科大学附属第三医院二氧化碳培养箱、荧光定量PCR仪、生物安全柜采购项目</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广州医科大学附属第三医院</w:t>
      </w:r>
      <w:r>
        <w:rPr/>
        <w:t>的委托，采用</w:t>
      </w:r>
      <w:r>
        <w:rPr/>
        <w:t>公开招标</w:t>
      </w:r>
      <w:r>
        <w:rPr/>
        <w:t>方式组织采购</w:t>
      </w:r>
      <w:r>
        <w:rPr/>
        <w:t>广州医科大学附属第三医院二氧化碳培养箱、荧光定量PCR仪、生物安全柜采购项目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广州医科大学附属第三医院二氧化碳培养箱、荧光定量PCR仪、生物安全柜采购项目</w:t>
      </w:r>
    </w:p>
    <w:p>
      <w:pPr>
        <w:pStyle w:val="null3"/>
        <w:ind w:firstLine="480"/>
      </w:pPr>
      <w:r>
        <w:rPr/>
        <w:t>采购计划编号：</w:t>
      </w:r>
      <w:r>
        <w:rPr/>
        <w:t>440101-2024-19970</w:t>
      </w:r>
    </w:p>
    <w:p>
      <w:pPr>
        <w:pStyle w:val="null3"/>
        <w:ind w:firstLine="480"/>
      </w:pPr>
      <w:r>
        <w:rPr/>
        <w:t>采购项目编号：</w:t>
      </w:r>
      <w:r>
        <w:rPr/>
        <w:t>3587-2412GZG10908</w:t>
      </w:r>
    </w:p>
    <w:p>
      <w:pPr>
        <w:pStyle w:val="null3"/>
        <w:ind w:firstLine="480"/>
      </w:pPr>
      <w:r>
        <w:rPr/>
        <w:t>采购方式：</w:t>
      </w:r>
      <w:r>
        <w:rPr/>
        <w:t>公开招标</w:t>
      </w:r>
    </w:p>
    <w:p>
      <w:pPr>
        <w:pStyle w:val="null3"/>
        <w:ind w:firstLine="480"/>
      </w:pPr>
      <w:r>
        <w:rPr/>
        <w:t>预算金额：</w:t>
      </w:r>
      <w:r>
        <w:rPr/>
        <w:t>1,189,200.00</w:t>
      </w:r>
      <w:r>
        <w:rPr/>
        <w:t>元</w:t>
      </w:r>
    </w:p>
    <w:p>
      <w:pPr>
        <w:pStyle w:val="null3"/>
        <w:outlineLvl w:val="3"/>
      </w:pPr>
      <w:r>
        <w:rPr>
          <w:sz w:val="24"/>
          <w:b/>
        </w:rPr>
        <w:t>2.项目内容及需求情况（采购项目技术规格、参数及要求）</w:t>
      </w:r>
    </w:p>
    <w:p>
      <w:pPr>
        <w:pStyle w:val="null3"/>
      </w:pPr>
      <w:r>
        <w:rPr/>
        <w:t>采购包1(二氧化碳培养箱):</w:t>
      </w:r>
    </w:p>
    <w:p>
      <w:pPr>
        <w:pStyle w:val="null3"/>
      </w:pPr>
      <w:r>
        <w:rPr/>
        <w:t>采购包预算金额：468,000.00元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临床检验设备</w:t>
            </w:r>
          </w:p>
        </w:tc>
        <w:tc>
          <w:tcPr>
            <w:tcW w:type="dxa" w:w="2052"/>
          </w:tcPr>
          <w:p>
            <w:pPr>
              <w:pStyle w:val="null3"/>
            </w:pPr>
            <w:r>
              <w:rPr/>
              <w:t>二氧化碳培养箱</w:t>
            </w:r>
          </w:p>
        </w:tc>
        <w:tc>
          <w:tcPr>
            <w:tcW w:type="dxa" w:w="977"/>
          </w:tcPr>
          <w:p>
            <w:pPr>
              <w:pStyle w:val="null3"/>
            </w:pPr>
            <w:r>
              <w:rPr/>
              <w:t>13(台)</w:t>
            </w:r>
          </w:p>
        </w:tc>
        <w:tc>
          <w:tcPr>
            <w:tcW w:type="dxa" w:w="977"/>
          </w:tcPr>
          <w:p>
            <w:pPr>
              <w:pStyle w:val="null3"/>
            </w:pPr>
            <w:r>
              <w:rPr/>
              <w:t>详见第二章</w:t>
            </w:r>
          </w:p>
        </w:tc>
        <w:tc>
          <w:tcPr>
            <w:tcW w:type="dxa" w:w="977"/>
          </w:tcPr>
          <w:p>
            <w:pPr>
              <w:pStyle w:val="null3"/>
            </w:pPr>
            <w:r>
              <w:rPr/>
              <w:t>468,000.00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合同履行期限：合同签订后3个月内交货。</w:t>
      </w:r>
    </w:p>
    <w:p>
      <w:pPr>
        <w:pStyle w:val="null3"/>
      </w:pPr>
      <w:r>
        <w:rPr/>
        <w:t>采购包2(荧光定量PCR仪):</w:t>
      </w:r>
    </w:p>
    <w:p>
      <w:pPr>
        <w:pStyle w:val="null3"/>
      </w:pPr>
      <w:r>
        <w:rPr/>
        <w:t>采购包预算金额：546,000.00元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临床检验设备</w:t>
            </w:r>
          </w:p>
        </w:tc>
        <w:tc>
          <w:tcPr>
            <w:tcW w:type="dxa" w:w="2052"/>
          </w:tcPr>
          <w:p>
            <w:pPr>
              <w:pStyle w:val="null3"/>
            </w:pPr>
            <w:r>
              <w:rPr/>
              <w:t>荧光定量PCR仪</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546,000.00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合同履行期限：合同签订后3个月内交货。</w:t>
      </w:r>
    </w:p>
    <w:p>
      <w:pPr>
        <w:pStyle w:val="null3"/>
      </w:pPr>
      <w:r>
        <w:rPr/>
        <w:t>采购包3(生物安全柜):</w:t>
      </w:r>
    </w:p>
    <w:p>
      <w:pPr>
        <w:pStyle w:val="null3"/>
      </w:pPr>
      <w:r>
        <w:rPr/>
        <w:t>采购包预算金额：175,200.00元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临床检验设备</w:t>
            </w:r>
          </w:p>
        </w:tc>
        <w:tc>
          <w:tcPr>
            <w:tcW w:type="dxa" w:w="2052"/>
          </w:tcPr>
          <w:p>
            <w:pPr>
              <w:pStyle w:val="null3"/>
            </w:pPr>
            <w:r>
              <w:rPr/>
              <w:t>生物安全柜</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175,200.00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采购包1（二氧化碳培养箱）：</w:t>
      </w:r>
      <w:r>
        <w:rPr/>
        <w:t>无。本采购包不属于专门面向中小企业采购的项目。</w:t>
      </w:r>
    </w:p>
    <w:p>
      <w:pPr>
        <w:pStyle w:val="null3"/>
        <w:jc w:val="left"/>
      </w:pPr>
      <w:r>
        <w:rPr/>
        <w:t>采购包2（荧光定量PCR仪）：</w:t>
      </w:r>
      <w:r>
        <w:rPr/>
        <w:t>无。本采购包不属于专门面向中小企业采购的项目。</w:t>
      </w:r>
    </w:p>
    <w:p>
      <w:pPr>
        <w:pStyle w:val="null3"/>
        <w:jc w:val="left"/>
      </w:pPr>
      <w:r>
        <w:rPr/>
        <w:t>采购包3（生物安全柜）：</w:t>
      </w:r>
      <w:r>
        <w:rPr/>
        <w:t>无。本采购包不属于专门面向中小企业采购的项目。</w:t>
      </w:r>
    </w:p>
    <w:p>
      <w:pPr>
        <w:pStyle w:val="null3"/>
        <w:outlineLvl w:val="3"/>
      </w:pPr>
      <w:r>
        <w:rPr>
          <w:sz w:val="24"/>
          <w:b/>
        </w:rPr>
        <w:t>3.本项目特定的资格要求：</w:t>
      </w:r>
    </w:p>
    <w:p>
      <w:pPr>
        <w:pStyle w:val="null3"/>
      </w:pPr>
      <w:r>
        <w:rPr/>
        <w:t>采购包1（二氧化碳培养箱）：</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3)本采购包不接受联合体投标。</w:t>
      </w:r>
    </w:p>
    <w:p>
      <w:pPr>
        <w:pStyle w:val="null3"/>
      </w:pPr>
      <w:r>
        <w:rPr/>
        <w:t>采购包2（荧光定量PCR仪）：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3)本采购包不接受联合体投标。</w:t>
      </w:r>
    </w:p>
    <w:p>
      <w:pPr>
        <w:pStyle w:val="null3"/>
      </w:pPr>
      <w:r>
        <w:rPr/>
        <w:t>采购包3（生物安全柜）：</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广州市多宝路63号</w:t>
      </w:r>
    </w:p>
    <w:p>
      <w:pPr>
        <w:pStyle w:val="null3"/>
        <w:ind w:firstLine="480"/>
      </w:pPr>
      <w:r>
        <w:rPr/>
        <w:t xml:space="preserve"> 联系方式：</w:t>
      </w:r>
      <w:r>
        <w:rPr/>
        <w:t>020-81292320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凡标有“★”的地方为关键的商务、技术指标要求，必须完全满足这些要求，未达到这些指标要求的将导致投标无效。标“▲”号的为比较重要的商务、技术指标，未达到这些指标要求的将被严重扣分，但不会导致投标无效。</w:t>
      </w:r>
    </w:p>
    <w:p>
      <w:pPr>
        <w:pStyle w:val="null3"/>
        <w:ind w:firstLine="378"/>
        <w:jc w:val="left"/>
      </w:pPr>
      <w:r>
        <w:rPr>
          <w:sz w:val="21"/>
        </w:rPr>
        <w:t>2.投标人必须对包内所有内容进行投标，不允许只对包内其中部分内容进行投标。</w:t>
      </w:r>
    </w:p>
    <w:p>
      <w:pPr>
        <w:pStyle w:val="null3"/>
        <w:ind w:firstLine="378"/>
        <w:jc w:val="left"/>
      </w:pPr>
      <w:r>
        <w:rPr>
          <w:sz w:val="21"/>
        </w:rPr>
        <w:t>3.投标人所投货物应是原厂原装、全新的产品，并符合下列要求：国家标准、行业标准以及该产品的出厂标准。</w:t>
      </w:r>
    </w:p>
    <w:p>
      <w:pPr>
        <w:pStyle w:val="null3"/>
        <w:ind w:firstLine="378"/>
        <w:jc w:val="left"/>
      </w:pPr>
      <w:r>
        <w:rPr>
          <w:sz w:val="21"/>
        </w:rPr>
        <w:t>4.在本项目采购需求基础上，投标人应在完全满足各产品功能要求的基础上提供更为详细的货物清单。</w:t>
      </w:r>
    </w:p>
    <w:p>
      <w:pPr>
        <w:pStyle w:val="null3"/>
        <w:ind w:firstLine="378"/>
        <w:jc w:val="left"/>
      </w:pPr>
      <w:r>
        <w:rPr>
          <w:sz w:val="21"/>
        </w:rPr>
        <w:t>5.投标人需对提交的资料真实性负责，如提供的产品规格、技术条款、检测报告（如有）、相关认证证书（如有）等方面的材料不真实，将认定为提供虚假材料谋取中标，由此给采购人造成损失的，投标人应承担相应后果，并负责赔偿。</w:t>
      </w:r>
    </w:p>
    <w:p>
      <w:pPr>
        <w:pStyle w:val="null3"/>
        <w:ind w:firstLine="378"/>
        <w:jc w:val="left"/>
      </w:pPr>
      <w:r>
        <w:rPr>
          <w:sz w:val="21"/>
        </w:rPr>
        <w:t>6.</w:t>
      </w:r>
      <w:r>
        <w:rPr>
          <w:sz w:val="21"/>
        </w:rPr>
        <w:t>本项目</w:t>
      </w:r>
      <w:r>
        <w:rPr>
          <w:sz w:val="21"/>
        </w:rPr>
        <w:t>不专门面向中小企业采购的原因：预留采购份额无法确保充分供应、充分竞争，或者存在可能影响政府采购目标实现的情形。</w:t>
      </w:r>
    </w:p>
    <w:p>
      <w:pPr>
        <w:pStyle w:val="null3"/>
        <w:ind w:firstLine="378"/>
        <w:jc w:val="left"/>
      </w:pPr>
      <w:r>
        <w:rPr>
          <w:sz w:val="21"/>
        </w:rPr>
        <w:t>7</w:t>
      </w:r>
      <w:r>
        <w:rPr>
          <w:sz w:val="21"/>
        </w:rPr>
        <w:t>.根据《关于印发中小企业划型标准规定的通知》（工信部联企业〔2011〕300号）规定，本项目采购标的对应的中小企业划分标准所属行业为：</w:t>
      </w:r>
      <w:r>
        <w:rPr>
          <w:sz w:val="21"/>
          <w:b/>
        </w:rPr>
        <w:t>工</w:t>
      </w:r>
      <w:r>
        <w:rPr>
          <w:sz w:val="21"/>
          <w:b/>
          <w:u w:val="single"/>
        </w:rPr>
        <w:t>业</w:t>
      </w:r>
      <w:r>
        <w:rPr>
          <w:sz w:val="21"/>
        </w:rPr>
        <w:t>。</w:t>
      </w:r>
    </w:p>
    <w:p>
      <w:pPr>
        <w:pStyle w:val="null3"/>
        <w:ind w:firstLine="378"/>
        <w:jc w:val="left"/>
      </w:pPr>
      <w:r>
        <w:rPr>
          <w:sz w:val="21"/>
        </w:rPr>
        <w:t>8</w:t>
      </w:r>
      <w:r>
        <w:rPr>
          <w:sz w:val="21"/>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pStyle w:val="null3"/>
        <w:ind w:firstLine="378"/>
        <w:jc w:val="left"/>
      </w:pPr>
      <w:r>
        <w:rPr>
          <w:sz w:val="21"/>
        </w:rPr>
        <w:t>9</w:t>
      </w:r>
      <w:r>
        <w:rPr>
          <w:sz w:val="21"/>
        </w:rPr>
        <w:t>.项目属性：</w:t>
      </w:r>
      <w:r>
        <w:rPr>
          <w:sz w:val="21"/>
          <w:b/>
        </w:rPr>
        <w:t>货物类</w:t>
      </w:r>
    </w:p>
    <w:p>
      <w:pPr>
        <w:pStyle w:val="null3"/>
      </w:pPr>
      <w:r>
        <w:rPr/>
        <w:t>采购包1（二氧化碳培养箱）</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★2.合同设备保质保用期为本项目采购人验收合格签字之日起，质保期≥5年，质保期内中标人应提供一切维修服务和更换零配件，设备原产配件≥10年供货期，开机率≥95%。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二氧化碳培养箱</w:t>
            </w:r>
          </w:p>
        </w:tc>
        <w:tc>
          <w:tcPr>
            <w:tcW w:type="dxa" w:w="831"/>
          </w:tcPr>
          <w:p>
            <w:pPr>
              <w:pStyle w:val="null3"/>
              <w:jc w:val="left"/>
            </w:pPr>
            <w:r>
              <w:rPr/>
              <w:t>台</w:t>
            </w:r>
          </w:p>
        </w:tc>
        <w:tc>
          <w:tcPr>
            <w:tcW w:type="dxa" w:w="831"/>
          </w:tcPr>
          <w:p>
            <w:pPr>
              <w:pStyle w:val="null3"/>
              <w:jc w:val="right"/>
            </w:pPr>
            <w:r>
              <w:rPr/>
              <w:t>13.00</w:t>
            </w:r>
          </w:p>
        </w:tc>
        <w:tc>
          <w:tcPr>
            <w:tcW w:type="dxa" w:w="831"/>
          </w:tcPr>
          <w:p>
            <w:pPr>
              <w:pStyle w:val="null3"/>
              <w:jc w:val="right"/>
            </w:pPr>
            <w:r>
              <w:rPr/>
              <w:t>36,000.00</w:t>
            </w:r>
          </w:p>
        </w:tc>
        <w:tc>
          <w:tcPr>
            <w:tcW w:type="dxa" w:w="831"/>
          </w:tcPr>
          <w:p>
            <w:pPr>
              <w:pStyle w:val="null3"/>
              <w:jc w:val="right"/>
            </w:pPr>
            <w:r>
              <w:rPr/>
              <w:t>468,000.00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二氧化碳培养箱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w:t>
            </w:r>
            <w:r>
              <w:rPr>
                <w:sz w:val="21"/>
                <w:b/>
              </w:rPr>
              <w:t>技术参数</w:t>
            </w:r>
          </w:p>
          <w:p>
            <w:pPr>
              <w:pStyle w:val="null3"/>
              <w:jc w:val="both"/>
            </w:pPr>
            <w:r>
              <w:rPr>
                <w:sz w:val="21"/>
              </w:rPr>
              <w:t>▲</w:t>
            </w:r>
            <w:r>
              <w:rPr>
                <w:sz w:val="21"/>
              </w:rPr>
              <w:t>1</w:t>
            </w:r>
            <w:r>
              <w:rPr>
                <w:sz w:val="21"/>
              </w:rPr>
              <w:t xml:space="preserve">. </w:t>
            </w:r>
            <w:r>
              <w:rPr>
                <w:sz w:val="21"/>
              </w:rPr>
              <w:t>内腔体积</w:t>
            </w:r>
            <w:r>
              <w:rPr>
                <w:sz w:val="21"/>
              </w:rPr>
              <w:t>≥185 L；具有不低于140℃高温干热灭菌功能，配备</w:t>
            </w:r>
            <w:r>
              <w:rPr>
                <w:sz w:val="21"/>
              </w:rPr>
              <w:t>达到或优于</w:t>
            </w:r>
            <w:r>
              <w:rPr>
                <w:sz w:val="21"/>
              </w:rPr>
              <w:t>PT1000温度传感器；配备红外二氧化碳传感器；配备湿度传感器，并在屏幕主界面有湿度显示。</w:t>
            </w:r>
          </w:p>
          <w:p>
            <w:pPr>
              <w:pStyle w:val="null3"/>
              <w:jc w:val="both"/>
            </w:pPr>
            <w:r>
              <w:rPr>
                <w:sz w:val="21"/>
              </w:rPr>
              <w:t>2</w:t>
            </w:r>
            <w:r>
              <w:rPr>
                <w:sz w:val="21"/>
              </w:rPr>
              <w:t xml:space="preserve">. </w:t>
            </w:r>
            <w:r>
              <w:rPr>
                <w:sz w:val="21"/>
              </w:rPr>
              <w:t>标配搁板数目</w:t>
            </w:r>
            <w:r>
              <w:rPr>
                <w:sz w:val="21"/>
              </w:rPr>
              <w:t>≥4块；可选装搁板数最多不小于17块</w:t>
            </w:r>
          </w:p>
          <w:p>
            <w:pPr>
              <w:pStyle w:val="null3"/>
              <w:jc w:val="both"/>
            </w:pPr>
            <w:r>
              <w:rPr>
                <w:sz w:val="21"/>
              </w:rPr>
              <w:t>3</w:t>
            </w:r>
            <w:r>
              <w:rPr>
                <w:sz w:val="21"/>
              </w:rPr>
              <w:t xml:space="preserve">. </w:t>
            </w:r>
            <w:r>
              <w:rPr>
                <w:sz w:val="21"/>
              </w:rPr>
              <w:t>隔板带孔可调节高度，隔板承重</w:t>
            </w:r>
            <w:r>
              <w:rPr>
                <w:sz w:val="21"/>
              </w:rPr>
              <w:t>≥20kg</w:t>
            </w:r>
          </w:p>
          <w:p>
            <w:pPr>
              <w:pStyle w:val="null3"/>
              <w:jc w:val="both"/>
            </w:pPr>
            <w:r>
              <w:rPr>
                <w:sz w:val="21"/>
              </w:rPr>
              <w:t>4</w:t>
            </w:r>
            <w:r>
              <w:rPr>
                <w:sz w:val="21"/>
              </w:rPr>
              <w:t xml:space="preserve">. </w:t>
            </w:r>
            <w:r>
              <w:rPr>
                <w:sz w:val="21"/>
              </w:rPr>
              <w:t>温度控制模式：直接加热气套式</w:t>
            </w:r>
          </w:p>
          <w:p>
            <w:pPr>
              <w:pStyle w:val="null3"/>
              <w:jc w:val="both"/>
            </w:pPr>
            <w:r>
              <w:rPr>
                <w:sz w:val="21"/>
              </w:rPr>
              <w:t>5</w:t>
            </w:r>
            <w:r>
              <w:rPr>
                <w:sz w:val="21"/>
              </w:rPr>
              <w:t xml:space="preserve">. </w:t>
            </w:r>
            <w:r>
              <w:rPr>
                <w:sz w:val="21"/>
              </w:rPr>
              <w:t>温度控制范围：高于环境温度</w:t>
            </w:r>
            <w:r>
              <w:rPr>
                <w:sz w:val="21"/>
              </w:rPr>
              <w:t>5℃～50℃</w:t>
            </w:r>
          </w:p>
          <w:p>
            <w:pPr>
              <w:pStyle w:val="null3"/>
              <w:jc w:val="both"/>
            </w:pPr>
            <w:r>
              <w:rPr>
                <w:sz w:val="21"/>
              </w:rPr>
              <w:t>6</w:t>
            </w:r>
            <w:r>
              <w:rPr>
                <w:sz w:val="21"/>
              </w:rPr>
              <w:t xml:space="preserve">. </w:t>
            </w:r>
            <w:r>
              <w:rPr>
                <w:sz w:val="21"/>
              </w:rPr>
              <w:t>温度控制精度</w:t>
            </w:r>
            <w:r>
              <w:rPr>
                <w:sz w:val="21"/>
              </w:rPr>
              <w:t>≤±0.1℃(@37℃)</w:t>
            </w:r>
          </w:p>
          <w:p>
            <w:pPr>
              <w:pStyle w:val="null3"/>
              <w:jc w:val="both"/>
            </w:pPr>
            <w:r>
              <w:rPr>
                <w:sz w:val="21"/>
              </w:rPr>
              <w:t>7</w:t>
            </w:r>
            <w:r>
              <w:rPr>
                <w:sz w:val="21"/>
              </w:rPr>
              <w:t xml:space="preserve">. </w:t>
            </w:r>
            <w:r>
              <w:rPr>
                <w:sz w:val="21"/>
              </w:rPr>
              <w:t>温度控制方式：采用微电脑芯片（</w:t>
            </w:r>
            <w:r>
              <w:rPr>
                <w:sz w:val="21"/>
              </w:rPr>
              <w:t>PID）控制系统</w:t>
            </w:r>
          </w:p>
          <w:p>
            <w:pPr>
              <w:pStyle w:val="null3"/>
              <w:jc w:val="both"/>
            </w:pPr>
            <w:r>
              <w:rPr>
                <w:sz w:val="21"/>
              </w:rPr>
              <w:t>8</w:t>
            </w:r>
            <w:r>
              <w:rPr>
                <w:sz w:val="21"/>
              </w:rPr>
              <w:t xml:space="preserve">. </w:t>
            </w:r>
            <w:r>
              <w:rPr>
                <w:sz w:val="21"/>
              </w:rPr>
              <w:t>达到或优于</w:t>
            </w:r>
            <w:r>
              <w:rPr>
                <w:sz w:val="21"/>
              </w:rPr>
              <w:t>高精度铂热电阻</w:t>
            </w:r>
            <w:r>
              <w:rPr>
                <w:sz w:val="21"/>
              </w:rPr>
              <w:t>PT1000温度传感器</w:t>
            </w:r>
          </w:p>
          <w:p>
            <w:pPr>
              <w:pStyle w:val="null3"/>
              <w:jc w:val="both"/>
            </w:pPr>
            <w:r>
              <w:rPr>
                <w:sz w:val="21"/>
              </w:rPr>
              <w:t>9</w:t>
            </w:r>
            <w:r>
              <w:rPr>
                <w:sz w:val="21"/>
              </w:rPr>
              <w:t xml:space="preserve">. </w:t>
            </w:r>
            <w:r>
              <w:rPr>
                <w:sz w:val="21"/>
              </w:rPr>
              <w:t>温度均一性</w:t>
            </w:r>
            <w:r>
              <w:rPr>
                <w:sz w:val="21"/>
              </w:rPr>
              <w:t>≤±0.3℃(@37℃)</w:t>
            </w:r>
          </w:p>
          <w:p>
            <w:pPr>
              <w:pStyle w:val="null3"/>
              <w:jc w:val="both"/>
            </w:pPr>
            <w:r>
              <w:rPr>
                <w:sz w:val="21"/>
              </w:rPr>
              <w:t>10</w:t>
            </w:r>
            <w:r>
              <w:rPr>
                <w:sz w:val="21"/>
              </w:rPr>
              <w:t xml:space="preserve">. </w:t>
            </w:r>
            <w:r>
              <w:rPr>
                <w:sz w:val="21"/>
              </w:rPr>
              <w:t>温度读数能力和设值能力</w:t>
            </w:r>
            <w:r>
              <w:rPr>
                <w:sz w:val="21"/>
              </w:rPr>
              <w:t>≤0.1℃</w:t>
            </w:r>
          </w:p>
          <w:p>
            <w:pPr>
              <w:pStyle w:val="null3"/>
              <w:jc w:val="both"/>
            </w:pPr>
            <w:r>
              <w:rPr>
                <w:sz w:val="21"/>
              </w:rPr>
              <w:t>11</w:t>
            </w:r>
            <w:r>
              <w:rPr>
                <w:sz w:val="21"/>
              </w:rPr>
              <w:t xml:space="preserve">. </w:t>
            </w:r>
            <w:r>
              <w:rPr>
                <w:sz w:val="21"/>
              </w:rPr>
              <w:t>温度恢复时间（开门</w:t>
            </w:r>
            <w:r>
              <w:rPr>
                <w:sz w:val="21"/>
              </w:rPr>
              <w:t>1min后）：不超过 8 分钟</w:t>
            </w:r>
          </w:p>
          <w:p>
            <w:pPr>
              <w:pStyle w:val="null3"/>
              <w:jc w:val="both"/>
            </w:pPr>
            <w:r>
              <w:rPr>
                <w:sz w:val="21"/>
              </w:rPr>
              <w:t>12</w:t>
            </w:r>
            <w:r>
              <w:rPr>
                <w:sz w:val="21"/>
              </w:rPr>
              <w:t>.</w:t>
            </w:r>
            <w:r>
              <w:rPr>
                <w:sz w:val="21"/>
              </w:rPr>
              <w:t xml:space="preserve"> </w:t>
            </w:r>
            <w:r>
              <w:rPr>
                <w:sz w:val="21"/>
              </w:rPr>
              <w:t>CO2控制精度和范围≤±0.1%（@5%），0～20%，CO2浓度均一性≤±0.3%</w:t>
            </w:r>
          </w:p>
          <w:p>
            <w:pPr>
              <w:pStyle w:val="null3"/>
              <w:jc w:val="both"/>
            </w:pPr>
            <w:r>
              <w:rPr>
                <w:sz w:val="21"/>
              </w:rPr>
              <w:t>▲</w:t>
            </w:r>
            <w:r>
              <w:rPr>
                <w:sz w:val="21"/>
              </w:rPr>
              <w:t>13</w:t>
            </w:r>
            <w:r>
              <w:rPr>
                <w:sz w:val="21"/>
              </w:rPr>
              <w:t>.</w:t>
            </w:r>
            <w:r>
              <w:rPr>
                <w:sz w:val="21"/>
              </w:rPr>
              <w:t xml:space="preserve">  </w:t>
            </w:r>
            <w:r>
              <w:rPr>
                <w:sz w:val="21"/>
              </w:rPr>
              <w:t>CO2传感器：采用可耐不低于190℃高温的红外传感器，不受温度、湿度影响</w:t>
            </w:r>
          </w:p>
          <w:p>
            <w:pPr>
              <w:pStyle w:val="null3"/>
              <w:jc w:val="both"/>
            </w:pPr>
            <w:r>
              <w:rPr>
                <w:sz w:val="21"/>
              </w:rPr>
              <w:t>14</w:t>
            </w:r>
            <w:r>
              <w:rPr>
                <w:sz w:val="21"/>
              </w:rPr>
              <w:t>.</w:t>
            </w:r>
            <w:r>
              <w:rPr>
                <w:sz w:val="21"/>
              </w:rPr>
              <w:t xml:space="preserve"> </w:t>
            </w:r>
            <w:r>
              <w:rPr>
                <w:sz w:val="21"/>
              </w:rPr>
              <w:t>CO2输入压力≥1.0 bar</w:t>
            </w:r>
          </w:p>
          <w:p>
            <w:pPr>
              <w:pStyle w:val="null3"/>
              <w:jc w:val="both"/>
            </w:pPr>
            <w:r>
              <w:rPr>
                <w:sz w:val="21"/>
              </w:rPr>
              <w:t>15</w:t>
            </w:r>
            <w:r>
              <w:rPr>
                <w:sz w:val="21"/>
              </w:rPr>
              <w:t>.</w:t>
            </w:r>
            <w:r>
              <w:rPr>
                <w:sz w:val="21"/>
              </w:rPr>
              <w:t xml:space="preserve"> </w:t>
            </w:r>
            <w:r>
              <w:rPr>
                <w:sz w:val="21"/>
              </w:rPr>
              <w:t>CO2读数能力和设值能力≤0.10%</w:t>
            </w:r>
          </w:p>
          <w:p>
            <w:pPr>
              <w:pStyle w:val="null3"/>
              <w:jc w:val="both"/>
            </w:pPr>
            <w:r>
              <w:rPr>
                <w:sz w:val="21"/>
              </w:rPr>
              <w:t>16</w:t>
            </w:r>
            <w:r>
              <w:rPr>
                <w:sz w:val="21"/>
              </w:rPr>
              <w:t xml:space="preserve">. </w:t>
            </w:r>
            <w:r>
              <w:rPr>
                <w:sz w:val="21"/>
              </w:rPr>
              <w:t>加湿方式：水盘自然蒸发加湿，稳定湿度范围</w:t>
            </w:r>
            <w:r>
              <w:rPr>
                <w:sz w:val="21"/>
              </w:rPr>
              <w:t>90％±5%</w:t>
            </w:r>
          </w:p>
          <w:p>
            <w:pPr>
              <w:pStyle w:val="null3"/>
              <w:jc w:val="both"/>
            </w:pPr>
            <w:r>
              <w:rPr>
                <w:sz w:val="21"/>
              </w:rPr>
              <w:t>▲</w:t>
            </w:r>
            <w:r>
              <w:rPr>
                <w:sz w:val="21"/>
              </w:rPr>
              <w:t>17</w:t>
            </w:r>
            <w:r>
              <w:rPr>
                <w:sz w:val="21"/>
              </w:rPr>
              <w:t xml:space="preserve">. </w:t>
            </w:r>
            <w:r>
              <w:rPr>
                <w:sz w:val="21"/>
              </w:rPr>
              <w:t>湿度系统（增湿水盘）容积</w:t>
            </w:r>
            <w:r>
              <w:rPr>
                <w:sz w:val="21"/>
              </w:rPr>
              <w:t>≥3.8L，湿度显示精度≤±1% RH</w:t>
            </w:r>
          </w:p>
          <w:p>
            <w:pPr>
              <w:pStyle w:val="null3"/>
              <w:jc w:val="both"/>
            </w:pPr>
            <w:r>
              <w:rPr>
                <w:sz w:val="21"/>
              </w:rPr>
              <w:t>18</w:t>
            </w:r>
            <w:r>
              <w:rPr>
                <w:sz w:val="21"/>
              </w:rPr>
              <w:t xml:space="preserve">. </w:t>
            </w:r>
            <w:r>
              <w:rPr>
                <w:sz w:val="21"/>
              </w:rPr>
              <w:t>过滤系统：内置</w:t>
            </w:r>
            <w:r>
              <w:rPr>
                <w:sz w:val="21"/>
              </w:rPr>
              <w:t>HEPA高效过滤器，开门30s，5min内</w:t>
            </w:r>
            <w:r>
              <w:rPr>
                <w:sz w:val="21"/>
              </w:rPr>
              <w:t>至少</w:t>
            </w:r>
            <w:r>
              <w:rPr>
                <w:sz w:val="21"/>
              </w:rPr>
              <w:t>恢复至内腔</w:t>
            </w:r>
            <w:r>
              <w:rPr>
                <w:sz w:val="21"/>
              </w:rPr>
              <w:t>ISO Class 5的空气质量；HEPA过滤器倒计时可设范围0～365天</w:t>
            </w:r>
          </w:p>
          <w:p>
            <w:pPr>
              <w:pStyle w:val="null3"/>
              <w:jc w:val="both"/>
            </w:pPr>
            <w:r>
              <w:rPr>
                <w:sz w:val="21"/>
              </w:rPr>
              <w:t>19</w:t>
            </w:r>
            <w:r>
              <w:rPr>
                <w:sz w:val="21"/>
              </w:rPr>
              <w:t xml:space="preserve">. </w:t>
            </w:r>
            <w:r>
              <w:rPr>
                <w:sz w:val="21"/>
              </w:rPr>
              <w:t>进气口等外部接口均配置</w:t>
            </w:r>
            <w:r>
              <w:rPr>
                <w:sz w:val="21"/>
              </w:rPr>
              <w:t>≤</w:t>
            </w:r>
            <w:r>
              <w:rPr>
                <w:sz w:val="21"/>
              </w:rPr>
              <w:t>0.22μm微生物过滤器，减少外界污染的可能性</w:t>
            </w:r>
          </w:p>
          <w:p>
            <w:pPr>
              <w:pStyle w:val="null3"/>
              <w:jc w:val="both"/>
            </w:pPr>
            <w:r>
              <w:rPr>
                <w:sz w:val="21"/>
              </w:rPr>
              <w:t>▲</w:t>
            </w:r>
            <w:r>
              <w:rPr>
                <w:sz w:val="21"/>
              </w:rPr>
              <w:t>20</w:t>
            </w:r>
            <w:r>
              <w:rPr>
                <w:sz w:val="21"/>
              </w:rPr>
              <w:t xml:space="preserve">. </w:t>
            </w:r>
            <w:r>
              <w:rPr>
                <w:sz w:val="21"/>
              </w:rPr>
              <w:t>灭菌功能：不低于</w:t>
            </w:r>
            <w:r>
              <w:rPr>
                <w:sz w:val="21"/>
              </w:rPr>
              <w:t>140℃高温干热灭菌，灭菌时无需拆除IR二氧化碳传感器，灭菌总时长不超过12小时，灭菌率不低于99.99%（需提供灭菌效果认证报告</w:t>
            </w:r>
            <w:r>
              <w:rPr>
                <w:sz w:val="21"/>
              </w:rPr>
              <w:t>复印件或扫描件并加盖投标人公章</w:t>
            </w:r>
            <w:r>
              <w:rPr>
                <w:sz w:val="21"/>
              </w:rPr>
              <w:t>）</w:t>
            </w:r>
          </w:p>
          <w:p>
            <w:pPr>
              <w:pStyle w:val="null3"/>
              <w:jc w:val="both"/>
            </w:pPr>
            <w:r>
              <w:rPr>
                <w:sz w:val="21"/>
              </w:rPr>
              <w:t>21</w:t>
            </w:r>
            <w:r>
              <w:rPr>
                <w:sz w:val="21"/>
              </w:rPr>
              <w:t xml:space="preserve">. </w:t>
            </w:r>
            <w:r>
              <w:rPr>
                <w:sz w:val="21"/>
              </w:rPr>
              <w:t>对高温灭菌全过程进行实时监控，并在屏幕上实时显示高温灭菌流程不同阶段的各种状态信息</w:t>
            </w:r>
          </w:p>
          <w:p>
            <w:pPr>
              <w:pStyle w:val="null3"/>
              <w:jc w:val="both"/>
            </w:pPr>
            <w:r>
              <w:rPr>
                <w:sz w:val="21"/>
              </w:rPr>
              <w:t>▲</w:t>
            </w:r>
            <w:r>
              <w:rPr>
                <w:sz w:val="21"/>
              </w:rPr>
              <w:t>22</w:t>
            </w:r>
            <w:r>
              <w:rPr>
                <w:sz w:val="21"/>
              </w:rPr>
              <w:t xml:space="preserve">. </w:t>
            </w:r>
            <w:r>
              <w:rPr>
                <w:sz w:val="21"/>
              </w:rPr>
              <w:t>配备分选套件包，分选柱采用无菌独立包装，可承载细胞总量</w:t>
            </w:r>
            <w:r>
              <w:rPr>
                <w:sz w:val="21"/>
              </w:rPr>
              <w:t>10^7～2×10^9个，可容纳标记的细胞量总量不低于10^5～10^8个，配合对应试剂盒，细胞分选纯度≥90%，计数池尺寸≤17.0×6×0.1mm，双孔位</w:t>
            </w:r>
          </w:p>
          <w:p>
            <w:pPr>
              <w:pStyle w:val="null3"/>
              <w:jc w:val="both"/>
            </w:pPr>
            <w:r>
              <w:rPr>
                <w:sz w:val="21"/>
              </w:rPr>
              <w:t>23</w:t>
            </w:r>
            <w:r>
              <w:rPr>
                <w:sz w:val="21"/>
              </w:rPr>
              <w:t xml:space="preserve">. </w:t>
            </w:r>
            <w:r>
              <w:rPr>
                <w:sz w:val="21"/>
              </w:rPr>
              <w:t>内腔四角采用光滑圆角设计，无死角，易清理，有效减小微生物附着</w:t>
            </w:r>
          </w:p>
          <w:p>
            <w:pPr>
              <w:pStyle w:val="null3"/>
              <w:jc w:val="both"/>
            </w:pPr>
            <w:r>
              <w:rPr>
                <w:sz w:val="21"/>
              </w:rPr>
              <w:t>24</w:t>
            </w:r>
            <w:r>
              <w:rPr>
                <w:sz w:val="21"/>
              </w:rPr>
              <w:t xml:space="preserve">. </w:t>
            </w:r>
            <w:r>
              <w:rPr>
                <w:sz w:val="21"/>
              </w:rPr>
              <w:t>外门加热系统可有效防止内门玻璃门冷凝水生成，避免微生物附着生长</w:t>
            </w:r>
          </w:p>
          <w:p>
            <w:pPr>
              <w:pStyle w:val="null3"/>
              <w:jc w:val="both"/>
            </w:pPr>
            <w:r>
              <w:rPr>
                <w:sz w:val="21"/>
              </w:rPr>
              <w:t>25</w:t>
            </w:r>
            <w:r>
              <w:rPr>
                <w:sz w:val="21"/>
              </w:rPr>
              <w:t xml:space="preserve">. </w:t>
            </w:r>
            <w:r>
              <w:rPr>
                <w:sz w:val="21"/>
              </w:rPr>
              <w:t>稳定的主动空气循环系统，内部空气循环</w:t>
            </w:r>
            <w:r>
              <w:rPr>
                <w:sz w:val="21"/>
              </w:rPr>
              <w:t>≥60次/小时，保证系统内环境均一</w:t>
            </w:r>
          </w:p>
          <w:p>
            <w:pPr>
              <w:pStyle w:val="null3"/>
              <w:jc w:val="both"/>
            </w:pPr>
            <w:r>
              <w:rPr>
                <w:sz w:val="21"/>
              </w:rPr>
              <w:t>▲</w:t>
            </w:r>
            <w:r>
              <w:rPr>
                <w:sz w:val="21"/>
              </w:rPr>
              <w:t>26</w:t>
            </w:r>
            <w:r>
              <w:rPr>
                <w:sz w:val="21"/>
              </w:rPr>
              <w:t>.</w:t>
            </w:r>
            <w:r>
              <w:rPr>
                <w:sz w:val="21"/>
              </w:rPr>
              <w:t xml:space="preserve"> </w:t>
            </w:r>
            <w:r>
              <w:rPr>
                <w:sz w:val="21"/>
              </w:rPr>
              <w:t>≥7寸高清电容触摸屏，分辨率≥1024×600，7天内二氧化碳浓度、温度、相对湿度变化曲线可视（可显示1H/6H/24H/7D</w:t>
            </w:r>
            <w:r>
              <w:rPr>
                <w:sz w:val="21"/>
              </w:rPr>
              <w:t>等</w:t>
            </w:r>
            <w:r>
              <w:rPr>
                <w:sz w:val="21"/>
              </w:rPr>
              <w:t>的历史数据图）</w:t>
            </w:r>
          </w:p>
          <w:p>
            <w:pPr>
              <w:pStyle w:val="null3"/>
              <w:jc w:val="both"/>
            </w:pPr>
            <w:r>
              <w:rPr>
                <w:sz w:val="21"/>
              </w:rPr>
              <w:t>▲</w:t>
            </w:r>
            <w:r>
              <w:rPr>
                <w:sz w:val="21"/>
              </w:rPr>
              <w:t>27</w:t>
            </w:r>
            <w:r>
              <w:rPr>
                <w:sz w:val="21"/>
              </w:rPr>
              <w:t xml:space="preserve">. </w:t>
            </w:r>
            <w:r>
              <w:rPr>
                <w:sz w:val="21"/>
              </w:rPr>
              <w:t>屏幕点击曲线任意位置可直接显示所选时间对应的温度、</w:t>
            </w:r>
            <w:r>
              <w:rPr>
                <w:sz w:val="21"/>
              </w:rPr>
              <w:t>CO2浓度，湿度数值，每1min采集一次的所有数据点并存储，方便查看培养箱运行状态，内置存储记录≥8000条。</w:t>
            </w:r>
          </w:p>
          <w:p>
            <w:pPr>
              <w:pStyle w:val="null3"/>
              <w:jc w:val="both"/>
            </w:pPr>
            <w:r>
              <w:rPr>
                <w:sz w:val="21"/>
              </w:rPr>
              <w:t>28</w:t>
            </w:r>
            <w:r>
              <w:rPr>
                <w:sz w:val="21"/>
              </w:rPr>
              <w:t xml:space="preserve">. </w:t>
            </w:r>
            <w:r>
              <w:rPr>
                <w:sz w:val="21"/>
              </w:rPr>
              <w:t>湿度控制防冷凝功能，通过调节压力平衡口过滤器气阻值，降低腔内湿度过高导致的冷凝风险</w:t>
            </w:r>
          </w:p>
          <w:p>
            <w:pPr>
              <w:pStyle w:val="null3"/>
              <w:jc w:val="both"/>
            </w:pPr>
            <w:r>
              <w:rPr>
                <w:sz w:val="21"/>
              </w:rPr>
              <w:t>29</w:t>
            </w:r>
            <w:r>
              <w:rPr>
                <w:sz w:val="21"/>
              </w:rPr>
              <w:t xml:space="preserve">. </w:t>
            </w:r>
            <w:r>
              <w:rPr>
                <w:sz w:val="21"/>
              </w:rPr>
              <w:t>具有报警记录、操作记录自动存储功能，可查询并导出</w:t>
            </w:r>
          </w:p>
          <w:p>
            <w:pPr>
              <w:pStyle w:val="null3"/>
              <w:jc w:val="both"/>
            </w:pPr>
            <w:r>
              <w:rPr>
                <w:sz w:val="21"/>
              </w:rPr>
              <w:t>30</w:t>
            </w:r>
            <w:r>
              <w:rPr>
                <w:sz w:val="21"/>
              </w:rPr>
              <w:t xml:space="preserve">. </w:t>
            </w:r>
            <w:r>
              <w:rPr>
                <w:sz w:val="21"/>
              </w:rPr>
              <w:t>温度报警设置：用户可自定义，上限：</w:t>
            </w:r>
            <w:r>
              <w:rPr>
                <w:sz w:val="21"/>
              </w:rPr>
              <w:t>(T+0.1)～(T+5.0);下限：（T-0.1)～(T-5.0）</w:t>
            </w:r>
          </w:p>
          <w:p>
            <w:pPr>
              <w:pStyle w:val="null3"/>
              <w:jc w:val="both"/>
            </w:pPr>
            <w:r>
              <w:rPr>
                <w:sz w:val="21"/>
              </w:rPr>
              <w:t>31</w:t>
            </w:r>
            <w:r>
              <w:rPr>
                <w:sz w:val="21"/>
              </w:rPr>
              <w:t>.</w:t>
            </w:r>
            <w:r>
              <w:rPr>
                <w:sz w:val="21"/>
              </w:rPr>
              <w:t xml:space="preserve"> </w:t>
            </w:r>
            <w:r>
              <w:rPr>
                <w:sz w:val="21"/>
              </w:rPr>
              <w:t>CO2浓度报警设置：用户可自定义，上限：(C+0.1)～(C+1.0);下限：(C-0.1)～(C-1.0)</w:t>
            </w:r>
          </w:p>
          <w:p>
            <w:pPr>
              <w:pStyle w:val="null3"/>
              <w:jc w:val="both"/>
            </w:pPr>
            <w:r>
              <w:rPr>
                <w:sz w:val="21"/>
              </w:rPr>
              <w:t>32</w:t>
            </w:r>
            <w:r>
              <w:rPr>
                <w:sz w:val="21"/>
              </w:rPr>
              <w:t xml:space="preserve">. </w:t>
            </w:r>
            <w:r>
              <w:rPr>
                <w:sz w:val="21"/>
              </w:rPr>
              <w:t>开门超时报警：内外门开门超过</w:t>
            </w:r>
            <w:r>
              <w:rPr>
                <w:sz w:val="21"/>
              </w:rPr>
              <w:t>2min报警，避免开门后遗忘或虚掩情况</w:t>
            </w:r>
          </w:p>
          <w:p>
            <w:pPr>
              <w:pStyle w:val="null3"/>
              <w:jc w:val="both"/>
            </w:pPr>
            <w:r>
              <w:rPr>
                <w:sz w:val="21"/>
              </w:rPr>
              <w:t>33</w:t>
            </w:r>
            <w:r>
              <w:rPr>
                <w:sz w:val="21"/>
              </w:rPr>
              <w:t xml:space="preserve">. </w:t>
            </w:r>
            <w:r>
              <w:rPr>
                <w:sz w:val="21"/>
              </w:rPr>
              <w:t>湿度过低报警：湿度默认低于</w:t>
            </w:r>
            <w:r>
              <w:rPr>
                <w:sz w:val="21"/>
              </w:rPr>
              <w:t>80%报警，防止水盘蒸干后影响细胞培养</w:t>
            </w:r>
          </w:p>
          <w:p>
            <w:pPr>
              <w:pStyle w:val="null3"/>
              <w:jc w:val="both"/>
            </w:pPr>
            <w:r>
              <w:rPr>
                <w:sz w:val="21"/>
              </w:rPr>
              <w:t>34</w:t>
            </w:r>
            <w:r>
              <w:rPr>
                <w:sz w:val="21"/>
              </w:rPr>
              <w:t xml:space="preserve">. </w:t>
            </w:r>
            <w:r>
              <w:rPr>
                <w:sz w:val="21"/>
              </w:rPr>
              <w:t>温度异常报警：温度超出设定范围报警，高温灭菌时，超出</w:t>
            </w:r>
            <w:r>
              <w:rPr>
                <w:sz w:val="21"/>
              </w:rPr>
              <w:t>160℃断电保护</w:t>
            </w:r>
          </w:p>
          <w:p>
            <w:pPr>
              <w:pStyle w:val="null3"/>
              <w:jc w:val="both"/>
            </w:pPr>
            <w:r>
              <w:rPr>
                <w:sz w:val="21"/>
              </w:rPr>
              <w:t>35</w:t>
            </w:r>
            <w:r>
              <w:rPr>
                <w:sz w:val="21"/>
              </w:rPr>
              <w:t xml:space="preserve">. </w:t>
            </w:r>
            <w:r>
              <w:rPr>
                <w:sz w:val="21"/>
              </w:rPr>
              <w:t>标配右开门，并配置门把手，方便样品拿取</w:t>
            </w:r>
          </w:p>
          <w:p>
            <w:pPr>
              <w:pStyle w:val="null3"/>
              <w:jc w:val="both"/>
            </w:pPr>
            <w:r>
              <w:rPr>
                <w:sz w:val="21"/>
              </w:rPr>
              <w:t>36</w:t>
            </w:r>
            <w:r>
              <w:rPr>
                <w:sz w:val="21"/>
              </w:rPr>
              <w:t xml:space="preserve">. </w:t>
            </w:r>
            <w:r>
              <w:rPr>
                <w:sz w:val="21"/>
              </w:rPr>
              <w:t>标配叠机组件，可两台叠加使用，减少实验室空间占用</w:t>
            </w:r>
          </w:p>
          <w:p>
            <w:pPr>
              <w:pStyle w:val="null3"/>
              <w:jc w:val="both"/>
            </w:pPr>
            <w:r>
              <w:rPr>
                <w:sz w:val="21"/>
              </w:rPr>
              <w:t>37</w:t>
            </w:r>
            <w:r>
              <w:rPr>
                <w:sz w:val="21"/>
              </w:rPr>
              <w:t xml:space="preserve">. </w:t>
            </w:r>
            <w:r>
              <w:rPr>
                <w:sz w:val="21"/>
              </w:rPr>
              <w:t>搁板尺寸</w:t>
            </w:r>
            <w:r>
              <w:rPr>
                <w:sz w:val="21"/>
              </w:rPr>
              <w:t>≥48.5×46 cm；搁板面积≥224 cm2</w:t>
            </w:r>
          </w:p>
          <w:p>
            <w:pPr>
              <w:pStyle w:val="null3"/>
              <w:jc w:val="both"/>
            </w:pPr>
            <w:r>
              <w:rPr>
                <w:sz w:val="21"/>
              </w:rPr>
              <w:t>38</w:t>
            </w:r>
            <w:r>
              <w:rPr>
                <w:sz w:val="21"/>
              </w:rPr>
              <w:t xml:space="preserve">. </w:t>
            </w:r>
            <w:r>
              <w:rPr>
                <w:sz w:val="21"/>
              </w:rPr>
              <w:t>内部尺寸</w:t>
            </w:r>
            <w:r>
              <w:rPr>
                <w:sz w:val="21"/>
              </w:rPr>
              <w:t>≥510 × 545 × 675 (mm)，外部尺寸≤695 × 670 × 970 (mm) (含显示屏和地脚)</w:t>
            </w:r>
          </w:p>
          <w:p>
            <w:pPr>
              <w:pStyle w:val="null3"/>
              <w:jc w:val="both"/>
            </w:pPr>
            <w:r>
              <w:rPr>
                <w:sz w:val="21"/>
              </w:rPr>
              <w:t>39</w:t>
            </w:r>
            <w:r>
              <w:rPr>
                <w:sz w:val="21"/>
              </w:rPr>
              <w:t xml:space="preserve">. </w:t>
            </w:r>
            <w:r>
              <w:rPr>
                <w:sz w:val="21"/>
              </w:rPr>
              <w:t>设备产品品质不低于</w:t>
            </w:r>
            <w:r>
              <w:rPr>
                <w:sz w:val="21"/>
              </w:rPr>
              <w:t>GB/T 19001-2016标准。</w:t>
            </w:r>
          </w:p>
          <w:p>
            <w:pPr>
              <w:pStyle w:val="null3"/>
              <w:jc w:val="both"/>
            </w:pPr>
            <w:r>
              <w:rPr>
                <w:sz w:val="21"/>
              </w:rPr>
              <w:t xml:space="preserve">40. </w:t>
            </w:r>
            <w:r>
              <w:rPr>
                <w:sz w:val="21"/>
              </w:rPr>
              <w:t>基本配置要求：</w:t>
            </w:r>
            <w:r>
              <w:rPr>
                <w:sz w:val="21"/>
              </w:rPr>
              <w:t>二氧化碳培养箱主机</w:t>
            </w:r>
            <w:r>
              <w:rPr>
                <w:sz w:val="21"/>
              </w:rPr>
              <w:t>1台，红外传感器1个，温度传感器1个，湿度传感器1个，CO2进气管包1个，横搁板及支架1套，增湿水盘1个，HEPA过滤器1个，高效过滤器1个，叠机锁组件2个，内盖板组件1个，竖搁板组件2个，检测口胶塞1个，CO2气瓶接头1个，分选套件包1个，电源线1根，工具包1套</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采购包2（荧光定量PCR仪）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荧光定量PCR仪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273,000.00</w:t>
            </w:r>
          </w:p>
        </w:tc>
        <w:tc>
          <w:tcPr>
            <w:tcW w:type="dxa" w:w="831"/>
          </w:tcPr>
          <w:p>
            <w:pPr>
              <w:pStyle w:val="null3"/>
              <w:jc w:val="right"/>
            </w:pPr>
            <w:r>
              <w:rPr/>
              <w:t>546,000.00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荧光定量PCR仪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一</w:t>
            </w:r>
            <w:r>
              <w:rPr>
                <w:sz w:val="21"/>
                <w:b/>
              </w:rPr>
              <w:t>）</w:t>
            </w:r>
            <w:r>
              <w:rPr>
                <w:sz w:val="21"/>
                <w:b/>
              </w:rPr>
              <w:t>技术参数</w:t>
            </w:r>
          </w:p>
          <w:p>
            <w:pPr>
              <w:pStyle w:val="null3"/>
              <w:jc w:val="both"/>
            </w:pPr>
            <w:r>
              <w:rPr>
                <w:sz w:val="21"/>
              </w:rPr>
              <w:t>1</w:t>
            </w:r>
            <w:r>
              <w:rPr>
                <w:sz w:val="21"/>
              </w:rPr>
              <w:t xml:space="preserve">. </w:t>
            </w:r>
            <w:r>
              <w:rPr>
                <w:sz w:val="21"/>
              </w:rPr>
              <w:t>热循环系统：帕耳帖效应系统。</w:t>
            </w:r>
          </w:p>
          <w:p>
            <w:pPr>
              <w:pStyle w:val="null3"/>
              <w:jc w:val="both"/>
            </w:pPr>
            <w:r>
              <w:rPr>
                <w:sz w:val="21"/>
              </w:rPr>
              <w:t>▲</w:t>
            </w:r>
            <w:r>
              <w:rPr>
                <w:sz w:val="21"/>
              </w:rPr>
              <w:t>2</w:t>
            </w:r>
            <w:r>
              <w:rPr>
                <w:sz w:val="21"/>
              </w:rPr>
              <w:t xml:space="preserve">. </w:t>
            </w:r>
            <w:r>
              <w:rPr>
                <w:sz w:val="21"/>
              </w:rPr>
              <w:t>支持运行种类</w:t>
            </w:r>
            <w:r>
              <w:rPr>
                <w:sz w:val="21"/>
              </w:rPr>
              <w:t>≥2 种 ：标准和快速运行等运行模式，并提供软件截图证明</w:t>
            </w:r>
            <w:r>
              <w:rPr>
                <w:sz w:val="21"/>
              </w:rPr>
              <w:t>并加盖投标人公章</w:t>
            </w:r>
            <w:r>
              <w:rPr>
                <w:sz w:val="21"/>
              </w:rPr>
              <w:t>。</w:t>
            </w:r>
          </w:p>
          <w:p>
            <w:pPr>
              <w:pStyle w:val="null3"/>
              <w:jc w:val="both"/>
            </w:pPr>
            <w:r>
              <w:rPr>
                <w:sz w:val="21"/>
              </w:rPr>
              <w:t>▲</w:t>
            </w:r>
            <w:r>
              <w:rPr>
                <w:sz w:val="21"/>
              </w:rPr>
              <w:t>3</w:t>
            </w:r>
            <w:r>
              <w:rPr>
                <w:sz w:val="21"/>
              </w:rPr>
              <w:t xml:space="preserve">. </w:t>
            </w:r>
            <w:r>
              <w:rPr>
                <w:sz w:val="21"/>
              </w:rPr>
              <w:t>光学系统：高亮度白光半导体光源，工作寿命</w:t>
            </w:r>
            <w:r>
              <w:rPr>
                <w:sz w:val="21"/>
              </w:rPr>
              <w:t>&gt;5年。</w:t>
            </w:r>
          </w:p>
          <w:p>
            <w:pPr>
              <w:pStyle w:val="null3"/>
              <w:jc w:val="both"/>
            </w:pPr>
            <w:r>
              <w:rPr>
                <w:sz w:val="21"/>
              </w:rPr>
              <w:t>4.</w:t>
            </w:r>
            <w:r>
              <w:rPr>
                <w:sz w:val="21"/>
              </w:rPr>
              <w:t>有效检测荧光通道数</w:t>
            </w:r>
            <w:r>
              <w:rPr>
                <w:sz w:val="21"/>
              </w:rPr>
              <w:t>≥4个。</w:t>
            </w:r>
          </w:p>
          <w:p>
            <w:pPr>
              <w:pStyle w:val="null3"/>
              <w:jc w:val="both"/>
            </w:pPr>
            <w:r>
              <w:rPr>
                <w:sz w:val="21"/>
              </w:rPr>
              <w:t>5.</w:t>
            </w:r>
            <w:r>
              <w:rPr>
                <w:sz w:val="21"/>
              </w:rPr>
              <w:t>模块规格：</w:t>
            </w:r>
            <w:r>
              <w:rPr>
                <w:sz w:val="21"/>
              </w:rPr>
              <w:t xml:space="preserve"> 96孔0.2ml等模块型号。</w:t>
            </w:r>
          </w:p>
          <w:p>
            <w:pPr>
              <w:pStyle w:val="null3"/>
              <w:jc w:val="both"/>
            </w:pPr>
            <w:r>
              <w:rPr>
                <w:sz w:val="21"/>
              </w:rPr>
              <w:t>▲</w:t>
            </w:r>
            <w:r>
              <w:rPr>
                <w:sz w:val="21"/>
              </w:rPr>
              <w:t>6</w:t>
            </w:r>
            <w:r>
              <w:rPr>
                <w:sz w:val="21"/>
              </w:rPr>
              <w:t xml:space="preserve">. </w:t>
            </w:r>
            <w:r>
              <w:rPr>
                <w:sz w:val="21"/>
              </w:rPr>
              <w:t>具备温度梯度功能，有</w:t>
            </w:r>
            <w:r>
              <w:rPr>
                <w:sz w:val="21"/>
              </w:rPr>
              <w:t>≥3个独立温控区域，须提供独立温控区域实物照片证明</w:t>
            </w:r>
            <w:r>
              <w:rPr>
                <w:sz w:val="21"/>
              </w:rPr>
              <w:t>并加盖投标人公章</w:t>
            </w:r>
            <w:r>
              <w:rPr>
                <w:sz w:val="21"/>
              </w:rPr>
              <w:t>。</w:t>
            </w:r>
          </w:p>
          <w:p>
            <w:pPr>
              <w:pStyle w:val="null3"/>
              <w:jc w:val="both"/>
            </w:pPr>
            <w:r>
              <w:rPr>
                <w:sz w:val="21"/>
              </w:rPr>
              <w:t>7</w:t>
            </w:r>
            <w:r>
              <w:rPr>
                <w:sz w:val="21"/>
              </w:rPr>
              <w:t xml:space="preserve">. </w:t>
            </w:r>
            <w:r>
              <w:rPr>
                <w:sz w:val="21"/>
              </w:rPr>
              <w:t>支持耗材：</w:t>
            </w:r>
            <w:r>
              <w:rPr>
                <w:sz w:val="21"/>
              </w:rPr>
              <w:t xml:space="preserve"> 0.2ml模块型号：常规96孔 (0.2 mL) 反应板与光学盖膜；8 连管 (0.2mL) 条带与光学平盖；单管 (0.2 mL) 与光学平盖；耗材完全开放。</w:t>
            </w:r>
          </w:p>
          <w:p>
            <w:pPr>
              <w:pStyle w:val="null3"/>
              <w:jc w:val="both"/>
            </w:pPr>
            <w:r>
              <w:rPr>
                <w:sz w:val="21"/>
              </w:rPr>
              <w:t>8</w:t>
            </w:r>
            <w:r>
              <w:rPr>
                <w:sz w:val="21"/>
              </w:rPr>
              <w:t xml:space="preserve">. </w:t>
            </w:r>
            <w:r>
              <w:rPr>
                <w:sz w:val="21"/>
              </w:rPr>
              <w:t>温度范围：</w:t>
            </w:r>
            <w:r>
              <w:rPr>
                <w:sz w:val="21"/>
              </w:rPr>
              <w:t xml:space="preserve"> 4°C–99.9°C，扩增后样品可以低温保存活性。</w:t>
            </w:r>
          </w:p>
          <w:p>
            <w:pPr>
              <w:pStyle w:val="null3"/>
              <w:jc w:val="both"/>
            </w:pPr>
            <w:r>
              <w:rPr>
                <w:sz w:val="21"/>
              </w:rPr>
              <w:t>9</w:t>
            </w:r>
            <w:r>
              <w:rPr>
                <w:sz w:val="21"/>
              </w:rPr>
              <w:t xml:space="preserve">. </w:t>
            </w:r>
            <w:r>
              <w:rPr>
                <w:sz w:val="21"/>
              </w:rPr>
              <w:t>温度均一性</w:t>
            </w:r>
            <w:r>
              <w:rPr>
                <w:sz w:val="21"/>
              </w:rPr>
              <w:t>≤+-0.4°C。</w:t>
            </w:r>
          </w:p>
          <w:p>
            <w:pPr>
              <w:pStyle w:val="null3"/>
              <w:jc w:val="both"/>
            </w:pPr>
            <w:r>
              <w:rPr>
                <w:sz w:val="21"/>
              </w:rPr>
              <w:t>10</w:t>
            </w:r>
            <w:r>
              <w:rPr>
                <w:sz w:val="21"/>
              </w:rPr>
              <w:t xml:space="preserve">. </w:t>
            </w:r>
            <w:r>
              <w:rPr>
                <w:sz w:val="21"/>
              </w:rPr>
              <w:t>高分辨熔解曲线分辨率：</w:t>
            </w:r>
            <w:r>
              <w:rPr>
                <w:sz w:val="21"/>
              </w:rPr>
              <w:t>≤ 0.015°C。</w:t>
            </w:r>
          </w:p>
          <w:p>
            <w:pPr>
              <w:pStyle w:val="null3"/>
              <w:jc w:val="both"/>
            </w:pPr>
            <w:r>
              <w:rPr>
                <w:sz w:val="21"/>
              </w:rPr>
              <w:t>11</w:t>
            </w:r>
            <w:r>
              <w:rPr>
                <w:sz w:val="21"/>
              </w:rPr>
              <w:t xml:space="preserve">. </w:t>
            </w:r>
            <w:r>
              <w:rPr>
                <w:sz w:val="21"/>
              </w:rPr>
              <w:t>支持</w:t>
            </w:r>
            <w:r>
              <w:rPr>
                <w:sz w:val="21"/>
              </w:rPr>
              <w:t>HRM应用。</w:t>
            </w:r>
          </w:p>
          <w:p>
            <w:pPr>
              <w:pStyle w:val="null3"/>
              <w:jc w:val="both"/>
            </w:pPr>
            <w:r>
              <w:rPr>
                <w:sz w:val="21"/>
              </w:rPr>
              <w:t>▲</w:t>
            </w:r>
            <w:r>
              <w:rPr>
                <w:sz w:val="21"/>
              </w:rPr>
              <w:t>12</w:t>
            </w:r>
            <w:r>
              <w:rPr>
                <w:sz w:val="21"/>
              </w:rPr>
              <w:t xml:space="preserve">. </w:t>
            </w:r>
            <w:r>
              <w:rPr>
                <w:sz w:val="21"/>
              </w:rPr>
              <w:t>采用</w:t>
            </w:r>
            <w:r>
              <w:rPr>
                <w:sz w:val="21"/>
              </w:rPr>
              <w:t>CCD或CMOS成像系统，数据同时采集：所有反应孔同时采集荧光数据，不同孔之间不存在时间差，非扫描式检测。</w:t>
            </w:r>
          </w:p>
          <w:p>
            <w:pPr>
              <w:pStyle w:val="null3"/>
              <w:jc w:val="both"/>
            </w:pPr>
            <w:r>
              <w:rPr>
                <w:sz w:val="21"/>
              </w:rPr>
              <w:t>13.</w:t>
            </w:r>
            <w:r>
              <w:rPr>
                <w:sz w:val="21"/>
              </w:rPr>
              <w:t xml:space="preserve"> </w:t>
            </w:r>
            <w:r>
              <w:rPr>
                <w:sz w:val="21"/>
              </w:rPr>
              <w:t>安装时已校准染料：</w:t>
            </w:r>
            <w:r>
              <w:rPr>
                <w:sz w:val="21"/>
              </w:rPr>
              <w:t>FAM™, SYBR® Green I, VIC®, JUN, ROX™ and Cy5 dyes等以及近似波长染料。</w:t>
            </w:r>
          </w:p>
          <w:p>
            <w:pPr>
              <w:pStyle w:val="null3"/>
              <w:jc w:val="both"/>
            </w:pPr>
            <w:r>
              <w:rPr>
                <w:sz w:val="21"/>
              </w:rPr>
              <w:t>▲</w:t>
            </w:r>
            <w:r>
              <w:rPr>
                <w:sz w:val="21"/>
              </w:rPr>
              <w:t>14</w:t>
            </w:r>
            <w:r>
              <w:rPr>
                <w:sz w:val="21"/>
              </w:rPr>
              <w:t xml:space="preserve">. </w:t>
            </w:r>
            <w:r>
              <w:rPr>
                <w:sz w:val="21"/>
              </w:rPr>
              <w:t>软件支持</w:t>
            </w:r>
            <w:r>
              <w:rPr>
                <w:sz w:val="21"/>
              </w:rPr>
              <w:t>Rox荧光校正去除移液误差，该功能可选。</w:t>
            </w:r>
          </w:p>
          <w:p>
            <w:pPr>
              <w:pStyle w:val="null3"/>
              <w:jc w:val="both"/>
            </w:pPr>
            <w:r>
              <w:rPr>
                <w:sz w:val="21"/>
              </w:rPr>
              <w:t>15</w:t>
            </w:r>
            <w:r>
              <w:rPr>
                <w:sz w:val="21"/>
              </w:rPr>
              <w:t xml:space="preserve">. </w:t>
            </w:r>
            <w:r>
              <w:rPr>
                <w:sz w:val="21"/>
              </w:rPr>
              <w:t>内置互动触摸屏，内置中文软件。</w:t>
            </w:r>
          </w:p>
          <w:p>
            <w:pPr>
              <w:pStyle w:val="null3"/>
              <w:jc w:val="both"/>
            </w:pPr>
            <w:r>
              <w:rPr>
                <w:sz w:val="21"/>
              </w:rPr>
              <w:t>16</w:t>
            </w:r>
            <w:r>
              <w:rPr>
                <w:sz w:val="21"/>
              </w:rPr>
              <w:t xml:space="preserve">. </w:t>
            </w:r>
            <w:r>
              <w:rPr>
                <w:sz w:val="21"/>
              </w:rPr>
              <w:t>单机运行模式：可连接或不连接电脑，直接定义运行程序，并储存数据结果。</w:t>
            </w:r>
          </w:p>
          <w:p>
            <w:pPr>
              <w:pStyle w:val="null3"/>
              <w:jc w:val="both"/>
            </w:pPr>
            <w:r>
              <w:rPr>
                <w:sz w:val="21"/>
              </w:rPr>
              <w:t>17</w:t>
            </w:r>
            <w:r>
              <w:rPr>
                <w:sz w:val="21"/>
              </w:rPr>
              <w:t xml:space="preserve">. </w:t>
            </w:r>
            <w:r>
              <w:rPr>
                <w:sz w:val="21"/>
              </w:rPr>
              <w:t>动态范围：</w:t>
            </w:r>
            <w:r>
              <w:rPr>
                <w:sz w:val="21"/>
              </w:rPr>
              <w:t>≥10个对数的线性动态范围。</w:t>
            </w:r>
          </w:p>
          <w:p>
            <w:pPr>
              <w:pStyle w:val="null3"/>
              <w:jc w:val="both"/>
            </w:pPr>
            <w:r>
              <w:rPr>
                <w:sz w:val="21"/>
              </w:rPr>
              <w:t>18</w:t>
            </w:r>
            <w:r>
              <w:rPr>
                <w:sz w:val="21"/>
              </w:rPr>
              <w:t xml:space="preserve">. </w:t>
            </w:r>
            <w:r>
              <w:rPr>
                <w:sz w:val="21"/>
              </w:rPr>
              <w:t>检测灵敏度：单拷贝检测</w:t>
            </w:r>
            <w:r>
              <w:rPr>
                <w:sz w:val="21"/>
              </w:rPr>
              <w:t>/反应体系。</w:t>
            </w:r>
          </w:p>
          <w:p>
            <w:pPr>
              <w:pStyle w:val="null3"/>
              <w:jc w:val="both"/>
            </w:pPr>
            <w:r>
              <w:rPr>
                <w:sz w:val="21"/>
              </w:rPr>
              <w:t>19</w:t>
            </w:r>
            <w:r>
              <w:rPr>
                <w:sz w:val="21"/>
              </w:rPr>
              <w:t xml:space="preserve">. </w:t>
            </w:r>
            <w:r>
              <w:rPr>
                <w:sz w:val="21"/>
              </w:rPr>
              <w:t>精密度（分辨率）：最低可分辨</w:t>
            </w:r>
            <w:r>
              <w:rPr>
                <w:sz w:val="21"/>
              </w:rPr>
              <w:t>≤1.5倍拷贝数差异 。</w:t>
            </w:r>
          </w:p>
          <w:p>
            <w:pPr>
              <w:pStyle w:val="null3"/>
              <w:jc w:val="both"/>
            </w:pPr>
            <w:r>
              <w:rPr>
                <w:sz w:val="21"/>
              </w:rPr>
              <w:t>▲</w:t>
            </w:r>
            <w:r>
              <w:rPr>
                <w:sz w:val="21"/>
              </w:rPr>
              <w:t>20</w:t>
            </w:r>
            <w:r>
              <w:rPr>
                <w:sz w:val="21"/>
              </w:rPr>
              <w:t xml:space="preserve">. </w:t>
            </w:r>
            <w:r>
              <w:rPr>
                <w:sz w:val="21"/>
              </w:rPr>
              <w:t>运行时间：完成标准</w:t>
            </w:r>
            <w:r>
              <w:rPr>
                <w:sz w:val="21"/>
              </w:rPr>
              <w:t>40个循环qPCR反应时间≤40分钟。</w:t>
            </w:r>
          </w:p>
          <w:p>
            <w:pPr>
              <w:pStyle w:val="null3"/>
              <w:jc w:val="both"/>
            </w:pPr>
            <w:r>
              <w:rPr>
                <w:sz w:val="21"/>
              </w:rPr>
              <w:t>21.</w:t>
            </w:r>
            <w:r>
              <w:rPr>
                <w:sz w:val="21"/>
              </w:rPr>
              <w:t xml:space="preserve"> </w:t>
            </w:r>
            <w:r>
              <w:rPr>
                <w:sz w:val="21"/>
              </w:rPr>
              <w:t>支持云端服务器，可以用网络打开浏览器，使用云端服务器查看，分析，共享数据。</w:t>
            </w:r>
          </w:p>
          <w:p>
            <w:pPr>
              <w:pStyle w:val="null3"/>
              <w:jc w:val="both"/>
            </w:pPr>
            <w:r>
              <w:rPr>
                <w:sz w:val="21"/>
              </w:rPr>
              <w:t>22.</w:t>
            </w:r>
            <w:r>
              <w:rPr>
                <w:sz w:val="21"/>
              </w:rPr>
              <w:t xml:space="preserve"> </w:t>
            </w:r>
            <w:r>
              <w:rPr>
                <w:sz w:val="21"/>
              </w:rPr>
              <w:t>云端服务器支持</w:t>
            </w:r>
            <w:r>
              <w:rPr>
                <w:sz w:val="21"/>
              </w:rPr>
              <w:t>≥10GB的免费存储空间。</w:t>
            </w:r>
          </w:p>
          <w:p>
            <w:pPr>
              <w:pStyle w:val="null3"/>
              <w:jc w:val="both"/>
            </w:pPr>
            <w:r>
              <w:rPr>
                <w:sz w:val="21"/>
              </w:rPr>
              <w:t>23.</w:t>
            </w:r>
            <w:r>
              <w:rPr>
                <w:sz w:val="21"/>
              </w:rPr>
              <w:t xml:space="preserve"> </w:t>
            </w:r>
            <w:r>
              <w:rPr>
                <w:sz w:val="21"/>
              </w:rPr>
              <w:t>软件功能：设置向导</w:t>
            </w:r>
            <w:r>
              <w:rPr>
                <w:sz w:val="21"/>
              </w:rPr>
              <w:t>/高级设置/快速启动，自动标准曲线建立，相对标准曲线，基因分型，数据和反应板读取，移液反应/反应体系设计，导出至excel, powerpoint, jpeg等，高级分析选项，每孔手动基线设定，产品查询等功能</w:t>
            </w:r>
          </w:p>
          <w:p>
            <w:pPr>
              <w:pStyle w:val="null3"/>
              <w:jc w:val="both"/>
            </w:pPr>
            <w:r>
              <w:rPr>
                <w:sz w:val="21"/>
              </w:rPr>
              <w:t>24.</w:t>
            </w:r>
            <w:r>
              <w:rPr>
                <w:sz w:val="21"/>
              </w:rPr>
              <w:t xml:space="preserve"> </w:t>
            </w:r>
            <w:r>
              <w:rPr>
                <w:sz w:val="21"/>
              </w:rPr>
              <w:t>可以进行远程查看分析数据。</w:t>
            </w:r>
          </w:p>
          <w:p>
            <w:pPr>
              <w:pStyle w:val="null3"/>
              <w:jc w:val="both"/>
            </w:pPr>
            <w:r>
              <w:rPr>
                <w:sz w:val="21"/>
              </w:rPr>
              <w:t>25.</w:t>
            </w:r>
            <w:r>
              <w:rPr>
                <w:sz w:val="21"/>
              </w:rPr>
              <w:t xml:space="preserve"> </w:t>
            </w:r>
            <w:r>
              <w:rPr>
                <w:sz w:val="21"/>
              </w:rPr>
              <w:t>单台配置：主机</w:t>
            </w:r>
            <w:r>
              <w:rPr>
                <w:sz w:val="21"/>
              </w:rPr>
              <w:t>1台、中文版系统操作软件1套、安装试剂盒1套、配套原厂工作站1台</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采购包3（生物安全柜）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c>
          <w:tcPr>
            <w:tcW w:type="dxa" w:w="4153"/>
          </w:tcPr>
          <w:p>
            <w:pPr>
              <w:pStyle w:val="null3"/>
            </w:pPr>
            <w:r>
              <w:rPr/>
              <w:t>付款方式</w:t>
            </w:r>
          </w:p>
        </w:tc>
        <w:tc>
          <w:tcPr>
            <w:tcW w:type="dxa" w:w="4153"/>
          </w:tcPr>
          <w:p>
            <w:pPr>
              <w:pStyle w:val="null3"/>
            </w:pPr>
            <w:r>
              <w:rPr/>
              <w:t>1期：支付比例100%,1.中标人将合同设备全部运送到指定地点交付并完成安装及验收后，凭：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★2.合同设备保质保用期为本项目采购人验收合格签字之日起，质保期≥5年，质保期内中标人应提供一切维修服务和更换零配件，设备原产配件≥10年供货期，开机率≥95%。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3）质保期内，根据科室需求开展专项培训次数≥3次，包括≥1次线下培训、每年应培训≥1次或按采购人要求。 4）上述培训服务所产生费用均包含在本次报价中。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临床检验设备</w:t>
            </w:r>
          </w:p>
        </w:tc>
        <w:tc>
          <w:tcPr>
            <w:tcW w:type="dxa" w:w="831"/>
          </w:tcPr>
          <w:p>
            <w:pPr>
              <w:pStyle w:val="null3"/>
              <w:jc w:val="left"/>
            </w:pPr>
            <w:r>
              <w:rPr/>
              <w:t>生物安全柜</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43,800.00</w:t>
            </w:r>
          </w:p>
        </w:tc>
        <w:tc>
          <w:tcPr>
            <w:tcW w:type="dxa" w:w="831"/>
          </w:tcPr>
          <w:p>
            <w:pPr>
              <w:pStyle w:val="null3"/>
              <w:jc w:val="right"/>
            </w:pPr>
            <w:r>
              <w:rPr/>
              <w:t>175,200.00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生物安全柜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w:t>
            </w:r>
            <w:r>
              <w:rPr>
                <w:sz w:val="21"/>
                <w:b/>
              </w:rPr>
              <w:t>技术参数</w:t>
            </w:r>
          </w:p>
          <w:p>
            <w:pPr>
              <w:pStyle w:val="null3"/>
              <w:jc w:val="both"/>
            </w:pPr>
            <w:r>
              <w:rPr>
                <w:sz w:val="21"/>
              </w:rPr>
              <w:t>▲1.</w:t>
            </w:r>
            <w:r>
              <w:rPr>
                <w:sz w:val="21"/>
              </w:rPr>
              <w:t xml:space="preserve"> </w:t>
            </w:r>
            <w:r>
              <w:rPr>
                <w:sz w:val="21"/>
              </w:rPr>
              <w:t>外型尺寸（宽</w:t>
            </w:r>
            <w:r>
              <w:rPr>
                <w:sz w:val="21"/>
              </w:rPr>
              <w:t>*深*高）：≤1650*850*2100mm；工作区尺寸（宽*深*高）：≥1500*620*650mm，满足场地和使用要求。</w:t>
            </w:r>
          </w:p>
          <w:p>
            <w:pPr>
              <w:pStyle w:val="null3"/>
              <w:jc w:val="both"/>
            </w:pPr>
            <w:r>
              <w:rPr>
                <w:sz w:val="21"/>
              </w:rPr>
              <w:t xml:space="preserve">2. </w:t>
            </w:r>
            <w:r>
              <w:rPr>
                <w:sz w:val="21"/>
              </w:rPr>
              <w:t>工作电源：</w:t>
            </w:r>
            <w:r>
              <w:rPr>
                <w:sz w:val="21"/>
              </w:rPr>
              <w:t>220V 50Hz。</w:t>
            </w:r>
          </w:p>
          <w:p>
            <w:pPr>
              <w:pStyle w:val="null3"/>
              <w:jc w:val="both"/>
            </w:pPr>
            <w:r>
              <w:rPr>
                <w:sz w:val="21"/>
              </w:rPr>
              <w:t xml:space="preserve">3. </w:t>
            </w:r>
            <w:r>
              <w:rPr>
                <w:sz w:val="21"/>
              </w:rPr>
              <w:t>工作环境：温度</w:t>
            </w:r>
            <w:r>
              <w:rPr>
                <w:sz w:val="21"/>
              </w:rPr>
              <w:t>15℃~35℃，相对湿度≤80%。</w:t>
            </w:r>
          </w:p>
          <w:p>
            <w:pPr>
              <w:pStyle w:val="null3"/>
              <w:jc w:val="both"/>
            </w:pPr>
            <w:r>
              <w:rPr>
                <w:sz w:val="21"/>
              </w:rPr>
              <w:t xml:space="preserve">4. </w:t>
            </w:r>
            <w:r>
              <w:rPr>
                <w:sz w:val="21"/>
              </w:rPr>
              <w:t>气流模式：</w:t>
            </w:r>
            <w:r>
              <w:rPr>
                <w:sz w:val="21"/>
              </w:rPr>
              <w:t>30%外排，70%内循环。</w:t>
            </w:r>
          </w:p>
          <w:p>
            <w:pPr>
              <w:pStyle w:val="null3"/>
              <w:jc w:val="both"/>
            </w:pPr>
            <w:r>
              <w:rPr>
                <w:sz w:val="21"/>
              </w:rPr>
              <w:t>▲5.</w:t>
            </w:r>
            <w:r>
              <w:rPr>
                <w:sz w:val="21"/>
              </w:rPr>
              <w:t xml:space="preserve"> </w:t>
            </w:r>
            <w:r>
              <w:rPr>
                <w:sz w:val="21"/>
              </w:rPr>
              <w:t>配置至少</w:t>
            </w:r>
            <w:r>
              <w:rPr>
                <w:sz w:val="21"/>
              </w:rPr>
              <w:t>三</w:t>
            </w:r>
            <w:r>
              <w:rPr>
                <w:sz w:val="21"/>
              </w:rPr>
              <w:t>个</w:t>
            </w:r>
            <w:r>
              <w:rPr>
                <w:sz w:val="21"/>
              </w:rPr>
              <w:t>独立</w:t>
            </w:r>
            <w:r>
              <w:rPr>
                <w:sz w:val="21"/>
              </w:rPr>
              <w:t>优质</w:t>
            </w:r>
            <w:r>
              <w:rPr>
                <w:sz w:val="21"/>
              </w:rPr>
              <w:t>风机，正常运转状态下的下降气流平均速度</w:t>
            </w:r>
            <w:r>
              <w:rPr>
                <w:sz w:val="21"/>
              </w:rPr>
              <w:t>≥0.3m/s；流入气流平均速度≥0.5m/s；总流量≥1500m³/h。</w:t>
            </w:r>
          </w:p>
          <w:p>
            <w:pPr>
              <w:pStyle w:val="null3"/>
              <w:jc w:val="both"/>
            </w:pPr>
            <w:r>
              <w:rPr>
                <w:sz w:val="21"/>
              </w:rPr>
              <w:t>▲6.</w:t>
            </w:r>
            <w:r>
              <w:rPr>
                <w:sz w:val="21"/>
              </w:rPr>
              <w:t xml:space="preserve"> </w:t>
            </w:r>
            <w:r>
              <w:rPr>
                <w:sz w:val="21"/>
              </w:rPr>
              <w:t>内循环与外排均采用超高效空气过滤器（</w:t>
            </w:r>
            <w:r>
              <w:rPr>
                <w:sz w:val="21"/>
              </w:rPr>
              <w:t>ULPA或HEPA），对≥0.12μm直径的固体颗粒物，过滤效率达到99.9995%。洁净等级达到ISO Class3级洁净标准，且提供检验证明</w:t>
            </w:r>
            <w:r>
              <w:rPr>
                <w:sz w:val="21"/>
              </w:rPr>
              <w:t>复印件或扫描件并加盖投标人公章</w:t>
            </w:r>
            <w:r>
              <w:rPr>
                <w:sz w:val="21"/>
              </w:rPr>
              <w:t>。</w:t>
            </w:r>
          </w:p>
          <w:p>
            <w:pPr>
              <w:pStyle w:val="null3"/>
              <w:jc w:val="both"/>
            </w:pPr>
            <w:r>
              <w:rPr>
                <w:sz w:val="21"/>
              </w:rPr>
              <w:t xml:space="preserve">7. </w:t>
            </w:r>
            <w:r>
              <w:rPr>
                <w:sz w:val="21"/>
              </w:rPr>
              <w:t>正常运转下的噪音</w:t>
            </w:r>
            <w:r>
              <w:rPr>
                <w:sz w:val="21"/>
              </w:rPr>
              <w:t>≤62dB（A）；振动≤5μm；净重288kg；平均照度≥1800LX。</w:t>
            </w:r>
          </w:p>
          <w:p>
            <w:pPr>
              <w:pStyle w:val="null3"/>
              <w:jc w:val="both"/>
            </w:pPr>
            <w:r>
              <w:rPr>
                <w:sz w:val="21"/>
              </w:rPr>
              <w:t xml:space="preserve">8. </w:t>
            </w:r>
            <w:r>
              <w:rPr>
                <w:sz w:val="21"/>
              </w:rPr>
              <w:t>在正常运转状态下的高效过滤器泄露率＜</w:t>
            </w:r>
            <w:r>
              <w:rPr>
                <w:sz w:val="21"/>
              </w:rPr>
              <w:t>0.005%。</w:t>
            </w:r>
          </w:p>
          <w:p>
            <w:pPr>
              <w:pStyle w:val="null3"/>
              <w:jc w:val="both"/>
            </w:pPr>
            <w:r>
              <w:rPr>
                <w:sz w:val="21"/>
              </w:rPr>
              <w:t xml:space="preserve">9. </w:t>
            </w:r>
            <w:r>
              <w:rPr>
                <w:sz w:val="21"/>
              </w:rPr>
              <w:t>操作面板玻璃设立</w:t>
            </w:r>
            <w:r>
              <w:rPr>
                <w:sz w:val="21"/>
              </w:rPr>
              <w:t>≥20cm安全警戒线，抬起超高或超低后警示装置发出声音+弹窗报警，工作台玻璃移门升降自如、定位准确、无故障、免维护并能完全关闭。</w:t>
            </w:r>
          </w:p>
          <w:p>
            <w:pPr>
              <w:pStyle w:val="null3"/>
              <w:jc w:val="both"/>
            </w:pPr>
            <w:r>
              <w:rPr>
                <w:sz w:val="21"/>
              </w:rPr>
              <w:t>▲10.</w:t>
            </w:r>
            <w:r>
              <w:rPr>
                <w:sz w:val="21"/>
              </w:rPr>
              <w:t xml:space="preserve"> </w:t>
            </w:r>
            <w:r>
              <w:rPr>
                <w:sz w:val="21"/>
              </w:rPr>
              <w:t>不小于</w:t>
            </w:r>
            <w:r>
              <w:rPr>
                <w:sz w:val="21"/>
              </w:rPr>
              <w:t>7英寸液晶触摸大屏操作，动态实时显示下降与流入气流流速、紫外灯与高效过滤器剩余寿命、计时/秒表、开机使用时长、工作区内温湿度、日期/时间、产品使用状态等参数。</w:t>
            </w:r>
          </w:p>
          <w:p>
            <w:pPr>
              <w:pStyle w:val="null3"/>
              <w:jc w:val="both"/>
            </w:pPr>
            <w:r>
              <w:rPr>
                <w:sz w:val="21"/>
              </w:rPr>
              <w:t>11.</w:t>
            </w:r>
            <w:r>
              <w:rPr>
                <w:sz w:val="21"/>
              </w:rPr>
              <w:t>设置管理员权限，一键调节参数，报警记录查询，</w:t>
            </w:r>
            <w:r>
              <w:rPr>
                <w:sz w:val="21"/>
              </w:rPr>
              <w:t>具有多种</w:t>
            </w:r>
            <w:r>
              <w:rPr>
                <w:sz w:val="21"/>
              </w:rPr>
              <w:t>声音与弹窗报警，实时风险管控并指导应急操作，降低失误风险，时刻监督设备安全使用。</w:t>
            </w:r>
          </w:p>
          <w:p>
            <w:pPr>
              <w:pStyle w:val="null3"/>
              <w:jc w:val="both"/>
            </w:pPr>
            <w:r>
              <w:rPr>
                <w:sz w:val="21"/>
              </w:rPr>
              <w:t>▲12.</w:t>
            </w:r>
            <w:r>
              <w:rPr>
                <w:sz w:val="21"/>
              </w:rPr>
              <w:t xml:space="preserve"> </w:t>
            </w:r>
            <w:r>
              <w:rPr>
                <w:sz w:val="21"/>
              </w:rPr>
              <w:t>具有紫外灯消毒功能，可预约紫外灯灭菌时间，自由设定杀菌时长，完成灭菌后紫外灯自动关闭。</w:t>
            </w:r>
            <w:r>
              <w:rPr>
                <w:sz w:val="21"/>
              </w:rPr>
              <w:t>具备优质约</w:t>
            </w:r>
            <w:r>
              <w:rPr>
                <w:sz w:val="21"/>
              </w:rPr>
              <w:t>40W紫外灯管，平均紫外强度≥2000mW/㎡。</w:t>
            </w:r>
          </w:p>
          <w:p>
            <w:pPr>
              <w:pStyle w:val="null3"/>
              <w:jc w:val="both"/>
            </w:pPr>
            <w:r>
              <w:rPr>
                <w:sz w:val="21"/>
              </w:rPr>
              <w:t xml:space="preserve">13. </w:t>
            </w:r>
            <w:r>
              <w:rPr>
                <w:sz w:val="21"/>
              </w:rPr>
              <w:t>前窗玻璃采用透视清晰、清洁和消毒时不对其产生负面影响且抗冲击性强的</w:t>
            </w:r>
            <w:r>
              <w:rPr>
                <w:sz w:val="21"/>
              </w:rPr>
              <w:t>≥</w:t>
            </w:r>
            <w:r>
              <w:rPr>
                <w:sz w:val="21"/>
              </w:rPr>
              <w:t>6mm防紫外线钢化玻璃，保护实验安全；</w:t>
            </w:r>
          </w:p>
          <w:p>
            <w:pPr>
              <w:pStyle w:val="null3"/>
              <w:jc w:val="both"/>
            </w:pPr>
            <w:r>
              <w:rPr>
                <w:sz w:val="21"/>
              </w:rPr>
              <w:t xml:space="preserve">14. </w:t>
            </w:r>
            <w:r>
              <w:rPr>
                <w:sz w:val="21"/>
              </w:rPr>
              <w:t>双运行模式：门体抬起，风机迅速配比下降与流入气流自动进入工作模式；门体下拉，风机低速运转自动进入节能模式；实验过程解放双手，无需触屏操作，减少污染风险。</w:t>
            </w:r>
          </w:p>
          <w:p>
            <w:pPr>
              <w:pStyle w:val="null3"/>
              <w:jc w:val="both"/>
            </w:pPr>
            <w:r>
              <w:rPr>
                <w:sz w:val="21"/>
              </w:rPr>
              <w:t>▲15.</w:t>
            </w:r>
            <w:r>
              <w:rPr>
                <w:sz w:val="21"/>
              </w:rPr>
              <w:t xml:space="preserve"> </w:t>
            </w:r>
            <w:r>
              <w:rPr>
                <w:sz w:val="21"/>
              </w:rPr>
              <w:t>柜体一体式结构可分离单独置于台面，也可置于地面并支架可调节高度，最小进门宽度</w:t>
            </w:r>
            <w:r>
              <w:rPr>
                <w:sz w:val="21"/>
              </w:rPr>
              <w:t>≤810mm。满足多场景使用需求；10°倾斜</w:t>
            </w:r>
            <w:r>
              <w:rPr>
                <w:sz w:val="21"/>
              </w:rPr>
              <w:t>，</w:t>
            </w:r>
            <w:r>
              <w:rPr>
                <w:sz w:val="21"/>
              </w:rPr>
              <w:t>高于操作台面的通体式搁手架，提供舒适操作的同时也防止进气流被阻挡，柜内气流外溢；有检测气流流速波动功能，气流流速波动超过</w:t>
            </w:r>
            <w:r>
              <w:rPr>
                <w:sz w:val="21"/>
              </w:rPr>
              <w:t>20%后有声音</w:t>
            </w:r>
            <w:r>
              <w:rPr>
                <w:sz w:val="21"/>
              </w:rPr>
              <w:t>、</w:t>
            </w:r>
            <w:r>
              <w:rPr>
                <w:sz w:val="21"/>
              </w:rPr>
              <w:t>弹窗报警提示。</w:t>
            </w:r>
          </w:p>
          <w:p>
            <w:pPr>
              <w:pStyle w:val="null3"/>
              <w:jc w:val="both"/>
            </w:pPr>
            <w:r>
              <w:rPr>
                <w:sz w:val="21"/>
              </w:rPr>
              <w:t xml:space="preserve">16. </w:t>
            </w:r>
            <w:r>
              <w:rPr>
                <w:sz w:val="21"/>
              </w:rPr>
              <w:t>整体操作台面采用</w:t>
            </w:r>
            <w:r>
              <w:rPr>
                <w:sz w:val="21"/>
              </w:rPr>
              <w:t>304不锈钢材质，耐腐蚀，易于清洁和维护，柜体防泄漏，集液槽标配排污阀，保护实验卫生。</w:t>
            </w:r>
          </w:p>
          <w:p>
            <w:pPr>
              <w:pStyle w:val="null3"/>
              <w:jc w:val="both"/>
            </w:pPr>
            <w:r>
              <w:rPr>
                <w:sz w:val="21"/>
              </w:rPr>
              <w:t>▲17.</w:t>
            </w:r>
            <w:r>
              <w:rPr>
                <w:sz w:val="21"/>
              </w:rPr>
              <w:t xml:space="preserve"> </w:t>
            </w:r>
            <w:r>
              <w:rPr>
                <w:sz w:val="21"/>
              </w:rPr>
              <w:t>标配高精度双微风速传感器，分别对下降和流入气流流速进行实时精准监测，保证控制系统对气流流速的稳定调节。</w:t>
            </w:r>
          </w:p>
          <w:p>
            <w:pPr>
              <w:pStyle w:val="null3"/>
              <w:jc w:val="both"/>
            </w:pPr>
            <w:r>
              <w:rPr>
                <w:sz w:val="21"/>
              </w:rPr>
              <w:t>18.</w:t>
            </w:r>
            <w:r>
              <w:rPr>
                <w:sz w:val="21"/>
              </w:rPr>
              <w:t xml:space="preserve"> </w:t>
            </w:r>
            <w:r>
              <w:rPr>
                <w:sz w:val="21"/>
              </w:rPr>
              <w:t>具有停电参数记忆，来电恢复功能；且带备用插座，在整机之外具有独立断电保护功能，且能通过屏幕设置供电时长，定时关闭，满足特定实验对设备通断电要求。</w:t>
            </w:r>
          </w:p>
          <w:p>
            <w:pPr>
              <w:pStyle w:val="null3"/>
              <w:jc w:val="both"/>
            </w:pPr>
            <w:r>
              <w:rPr>
                <w:sz w:val="21"/>
              </w:rPr>
              <w:t xml:space="preserve">19. </w:t>
            </w:r>
            <w:r>
              <w:rPr>
                <w:sz w:val="21"/>
              </w:rPr>
              <w:t>具有流入</w:t>
            </w:r>
            <w:r>
              <w:rPr>
                <w:sz w:val="21"/>
              </w:rPr>
              <w:t>/下降风速传感器以及风机联动精准监测功能，可第一时间排除报警原因，方便用户第一时间做出对应安全操作。</w:t>
            </w:r>
          </w:p>
          <w:p>
            <w:pPr>
              <w:pStyle w:val="null3"/>
              <w:jc w:val="both"/>
            </w:pPr>
            <w:r>
              <w:rPr>
                <w:sz w:val="21"/>
              </w:rPr>
              <w:t xml:space="preserve">20. </w:t>
            </w:r>
            <w:r>
              <w:rPr>
                <w:sz w:val="21"/>
              </w:rPr>
              <w:t>单台配置：主机</w:t>
            </w:r>
            <w:r>
              <w:rPr>
                <w:sz w:val="21"/>
              </w:rPr>
              <w:t>1台，支架1台，插座2个，紫外灯1个</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 011]534号文件中“货物类”规定的计算方法和计费标准，以中标（成交）金额为计费基数，按差额定率累进法计算，下浮22%收取。（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2.招标文件附件：投标人应将招标公告中“相关附件”（如有）内容填写好相关信息后附在投标文件中。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采购包1(二氧化碳培养箱)：综合评分法,是指投标文件满足招标文件全部实质性要求，且按照评审因素的量化指标评审得分最高的投标人为中标候选人的评标方法。（最低报价不是中标的唯一依据。）</w:t>
      </w:r>
    </w:p>
    <w:p>
      <w:pPr>
        <w:pStyle w:val="null3"/>
      </w:pPr>
      <w:r>
        <w:rPr/>
        <w:t>采购包2(荧光定量PCR仪)：综合评分法,是指投标文件满足招标文件全部实质性要求，且按照评审因素的量化指标评审得分最高的投标人为中标候选人的评标方法。（最低报价不是中标的唯一依据。）</w:t>
      </w:r>
    </w:p>
    <w:p>
      <w:pPr>
        <w:pStyle w:val="null3"/>
      </w:pPr>
      <w:r>
        <w:rPr/>
        <w:t>采购包3(生物安全柜)：综合评分法,是指投标文件满足招标文件全部实质性要求，且按照评审因素的量化指标评审得分最高的投标人为中标候选人的评标方法。（最低报价不是中标的唯一依据。）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采购包1（二氧化碳培养箱）：</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采购包2（荧光定量PCR仪）：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采购包3（生物安全柜）：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采购包1（二氧化碳培养箱）：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pPr>
      <w:r>
        <w:rPr/>
        <w:t>采购包2（荧光定量PCR仪）：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pPr>
      <w:r>
        <w:rPr/>
        <w:t>采购包3（生物安全柜）：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ind w:firstLine="480"/>
      </w:pPr>
      <w:r>
        <w:rPr/>
        <w:t>表二符合性审查表：</w:t>
      </w:r>
    </w:p>
    <w:p>
      <w:pPr>
        <w:pStyle w:val="null3"/>
      </w:pPr>
      <w:r>
        <w:rPr/>
        <w:t>采购包1（二氧化碳培养箱）：</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采购包2（荧光定量PCR仪）：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采购包3（生物安全柜）：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采购包1(二氧化碳培养箱):</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“技术要求”的响应情况进行评审：1.对7项带“▲”的技术要求进行逐一响应，本小项共20分，投标人本小项得分=投标人响应三角项数/三角条款项数×20分。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采购包2(荧光定量PCR仪):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“技术要求”的响应情况进行评审：1.对6项带“▲”的技术要求进行逐一响应，本小项共20分，投标人本小项得分=投标人响应三角项数/三角条款项数×20分。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采购包3(生物安全柜):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“技术要求”的响应情况进行评审：1.对7项带“▲”的技术要求进行逐一响应，本小项共20分，投标人本小项得分=投标人响应三角项数/三角条款项数×20分。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r>
              <w:rPr/>
              <w:t>，（等次分值选择：</w:t>
            </w:r>
            <w:r>
              <w:rPr/>
              <w:t>0.0;</w:t>
            </w:r>
            <w:r>
              <w:rPr/>
              <w:t>1.0;</w:t>
            </w:r>
            <w:r>
              <w:rPr/>
              <w:t>2.0;</w:t>
            </w:r>
            <w:r>
              <w:rPr/>
              <w:t>4.0;</w:t>
            </w:r>
            <w:r>
              <w:rPr/>
              <w:t>7.0;</w:t>
            </w:r>
            <w:r>
              <w:rPr/>
              <w:t>）</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 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r>
              <w:rPr/>
              <w:t>，（等次分值选择：</w:t>
            </w:r>
            <w:r>
              <w:rPr/>
              <w:t>0.0;</w:t>
            </w:r>
            <w:r>
              <w:rPr/>
              <w:t>1.0;</w:t>
            </w:r>
            <w:r>
              <w:rPr/>
              <w:t>4.0;</w:t>
            </w:r>
            <w:r>
              <w:rPr/>
              <w:t>7.0;</w:t>
            </w:r>
            <w:r>
              <w:rPr/>
              <w:t>）</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r>
              <w:rPr/>
              <w:t>，（等次分值选择：</w:t>
            </w:r>
            <w:r>
              <w:rPr/>
              <w:t>0.0;</w:t>
            </w:r>
            <w:r>
              <w:rPr/>
              <w:t>2.0;</w:t>
            </w:r>
            <w:r>
              <w:rPr/>
              <w:t>4.0;</w:t>
            </w:r>
            <w:r>
              <w:rPr/>
              <w:t>8.0;</w:t>
            </w:r>
            <w:r>
              <w:rPr/>
              <w:t>）</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1.0;</w:t>
            </w:r>
            <w:r>
              <w:rPr/>
              <w:t>3.0;</w:t>
            </w:r>
            <w:r>
              <w:rPr/>
              <w:t>6.0;</w:t>
            </w:r>
            <w:r>
              <w:rPr/>
              <w:t>）</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采购合同</w:t>
      </w:r>
    </w:p>
    <w:p>
      <w:pPr>
        <w:pStyle w:val="null3"/>
        <w:jc w:val="both"/>
      </w:pPr>
      <w:r>
        <w:rPr>
          <w:sz w:val="24"/>
          <w:b/>
        </w:rPr>
        <w:t>甲方：广州医科大学附属第三医院</w:t>
      </w:r>
    </w:p>
    <w:p>
      <w:pPr>
        <w:pStyle w:val="null3"/>
        <w:jc w:val="both"/>
      </w:pPr>
      <w:r>
        <w:rPr>
          <w:sz w:val="24"/>
          <w:b/>
        </w:rPr>
        <w:t>乙方：</w:t>
      </w:r>
    </w:p>
    <w:p>
      <w:pPr>
        <w:pStyle w:val="null3"/>
        <w:ind w:firstLine="480"/>
        <w:jc w:val="both"/>
      </w:pPr>
      <w:r>
        <w:rPr>
          <w:sz w:val="24"/>
        </w:rPr>
        <w:t>根据《中华人民共和国民法典》及广东信诚招标代理咨询有限公司招标编号为</w:t>
      </w:r>
      <w:r>
        <w:rPr>
          <w:sz w:val="24"/>
          <w:u w:val="single"/>
        </w:rPr>
        <w:t>（采购项目完整编号）</w:t>
      </w:r>
      <w:r>
        <w:rPr>
          <w:sz w:val="24"/>
        </w:rPr>
        <w:t>的</w:t>
      </w:r>
      <w:r>
        <w:rPr>
          <w:sz w:val="24"/>
          <w:u w:val="single"/>
        </w:rPr>
        <w:t>（采购项目完整项目名称）</w:t>
      </w:r>
      <w:r>
        <w:rPr>
          <w:sz w:val="24"/>
        </w:rPr>
        <w:t>的招标结果和招标文件的要求，甲、乙双方经协商确定，甲方向乙方订购以下设备及其服务，为明确双方责任和权利，特签订本合同，共同遵守。具体条款如下：</w:t>
      </w:r>
    </w:p>
    <w:p>
      <w:pPr>
        <w:pStyle w:val="null3"/>
        <w:ind w:firstLine="482"/>
        <w:jc w:val="both"/>
      </w:pPr>
      <w:r>
        <w:rPr>
          <w:sz w:val="24"/>
          <w:b/>
        </w:rPr>
        <w:t>1.合同设备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634"/>
        <w:gridCol w:w="1271"/>
        <w:gridCol w:w="1483"/>
        <w:gridCol w:w="590"/>
        <w:gridCol w:w="772"/>
        <w:gridCol w:w="1210"/>
        <w:gridCol w:w="1347"/>
      </w:tblGrid>
      <w:tr>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产地品牌</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r>
              <w:rPr>
                <w:sz w:val="24"/>
              </w:rPr>
              <w:t>(元)</w:t>
            </w:r>
          </w:p>
        </w:tc>
      </w:tr>
      <w:tr>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2.合同总价</w:t>
      </w:r>
    </w:p>
    <w:p>
      <w:pPr>
        <w:pStyle w:val="null3"/>
        <w:ind w:firstLine="480"/>
        <w:jc w:val="both"/>
      </w:pPr>
      <w:r>
        <w:rPr>
          <w:sz w:val="24"/>
        </w:rPr>
        <w:t>总价为人民币：</w:t>
      </w:r>
      <w:r>
        <w:rPr>
          <w:sz w:val="24"/>
          <w:b/>
          <w:u w:val="single"/>
        </w:rPr>
        <w:t>（大写）</w:t>
      </w:r>
      <w:r>
        <w:rPr>
          <w:sz w:val="24"/>
          <w:b/>
          <w:u w:val="single"/>
        </w:rPr>
        <w:t xml:space="preserve">   </w:t>
      </w:r>
      <w:r>
        <w:rPr>
          <w:sz w:val="24"/>
          <w:b/>
          <w:u w:val="single"/>
        </w:rPr>
        <w:t>元整，即</w:t>
      </w:r>
      <w:r>
        <w:rPr>
          <w:sz w:val="24"/>
          <w:b/>
          <w:u w:val="single"/>
        </w:rPr>
        <w:t>RMB￥   元</w:t>
      </w:r>
      <w:r>
        <w:rPr>
          <w:sz w:val="24"/>
        </w:rPr>
        <w:t>，该合同总金额是设备制造、包装、仓储、运输、安装、培训及验收合格之前及保质保用期间包括备品备件发生的所有含税费用。本合同执行期间合同总金额不变。</w:t>
      </w:r>
    </w:p>
    <w:p>
      <w:pPr>
        <w:pStyle w:val="null3"/>
        <w:ind w:firstLine="482"/>
        <w:jc w:val="both"/>
      </w:pPr>
      <w:r>
        <w:rPr>
          <w:sz w:val="24"/>
          <w:b/>
        </w:rPr>
        <w:t>3. 合同组成</w:t>
      </w:r>
    </w:p>
    <w:p>
      <w:pPr>
        <w:pStyle w:val="null3"/>
        <w:ind w:firstLine="480"/>
        <w:jc w:val="both"/>
      </w:pPr>
      <w:r>
        <w:rPr>
          <w:sz w:val="24"/>
        </w:rPr>
        <w:t>详细价格、技术说明及其它有关合同设备的特定信息由合同附件说明。所有附件（配置清单、应用培训计划）及因本项目所形成的会议纪要、协议、澄清等均为本合同不可分割之一部分。</w:t>
      </w:r>
    </w:p>
    <w:p>
      <w:pPr>
        <w:pStyle w:val="null3"/>
        <w:ind w:firstLine="482"/>
        <w:jc w:val="both"/>
      </w:pPr>
      <w:r>
        <w:rPr>
          <w:sz w:val="24"/>
          <w:b/>
        </w:rPr>
        <w:t>4.技术要求</w:t>
      </w:r>
    </w:p>
    <w:p>
      <w:pPr>
        <w:pStyle w:val="null3"/>
        <w:ind w:firstLine="480"/>
        <w:jc w:val="both"/>
      </w:pPr>
      <w:r>
        <w:rPr>
          <w:sz w:val="24"/>
        </w:rPr>
        <w:t>乙方所提供设备，必须符合国家有关规范和环保要求及甲方的技术要求。</w:t>
      </w:r>
    </w:p>
    <w:p>
      <w:pPr>
        <w:pStyle w:val="null3"/>
        <w:ind w:firstLine="482"/>
        <w:jc w:val="both"/>
      </w:pPr>
      <w:r>
        <w:rPr>
          <w:sz w:val="24"/>
          <w:b/>
        </w:rPr>
        <w:t>5.合同设备包装、交货、安装及验收</w:t>
      </w:r>
    </w:p>
    <w:p>
      <w:pPr>
        <w:pStyle w:val="null3"/>
        <w:ind w:firstLine="480"/>
        <w:jc w:val="both"/>
      </w:pPr>
      <w:r>
        <w:rPr>
          <w:sz w:val="24"/>
        </w:rPr>
        <w:t>5.1合同设备的包装</w:t>
      </w:r>
    </w:p>
    <w:p>
      <w:pPr>
        <w:pStyle w:val="null3"/>
        <w:ind w:firstLine="480"/>
        <w:jc w:val="both"/>
      </w:pPr>
      <w:r>
        <w:rPr>
          <w:sz w:val="24"/>
        </w:rPr>
        <w:t>设备的包装均应有良好的防湿、防锈、防潮、防雨、防腐及防碰撞的措施。凡由于包装不良造成的损失和由此产生的费用均由乙方承担。</w:t>
      </w:r>
    </w:p>
    <w:p>
      <w:pPr>
        <w:pStyle w:val="null3"/>
        <w:ind w:firstLine="480"/>
        <w:jc w:val="both"/>
      </w:pPr>
      <w:r>
        <w:rPr>
          <w:sz w:val="24"/>
        </w:rPr>
        <w:t>5.2  合同设备的交货</w:t>
      </w:r>
    </w:p>
    <w:p>
      <w:pPr>
        <w:pStyle w:val="null3"/>
        <w:ind w:firstLine="480"/>
        <w:jc w:val="both"/>
      </w:pPr>
      <w:r>
        <w:rPr>
          <w:sz w:val="24"/>
        </w:rPr>
        <w:t>5.2.1  乙方交货时间：</w:t>
      </w:r>
      <w:r>
        <w:rPr>
          <w:sz w:val="24"/>
          <w:u w:val="single"/>
        </w:rPr>
        <w:t>合同签订后</w:t>
      </w:r>
      <w:r>
        <w:rPr>
          <w:sz w:val="24"/>
          <w:u w:val="single"/>
        </w:rPr>
        <w:t xml:space="preserve">  </w:t>
      </w:r>
      <w:r>
        <w:rPr>
          <w:sz w:val="24"/>
          <w:u w:val="single"/>
        </w:rPr>
        <w:t>个月内。</w:t>
      </w:r>
    </w:p>
    <w:p>
      <w:pPr>
        <w:pStyle w:val="null3"/>
        <w:ind w:firstLine="480"/>
        <w:jc w:val="both"/>
      </w:pPr>
      <w:r>
        <w:rPr>
          <w:sz w:val="24"/>
        </w:rPr>
        <w:t>5.2.2  乙方交货地点：运输及卸车至广州医科大学附属第三医院或指定地点</w:t>
      </w:r>
    </w:p>
    <w:p>
      <w:pPr>
        <w:pStyle w:val="null3"/>
        <w:ind w:firstLine="480"/>
        <w:jc w:val="both"/>
      </w:pPr>
      <w:r>
        <w:rPr>
          <w:sz w:val="24"/>
        </w:rPr>
        <w:t>5.3   合同设备的安装</w:t>
      </w:r>
    </w:p>
    <w:p>
      <w:pPr>
        <w:pStyle w:val="null3"/>
        <w:ind w:firstLine="480"/>
        <w:jc w:val="both"/>
      </w:pPr>
      <w:r>
        <w:rPr>
          <w:sz w:val="24"/>
        </w:rPr>
        <w:t>5.3.1  乙方负责合同项下的安装，一切费用由乙方负责。</w:t>
      </w:r>
    </w:p>
    <w:p>
      <w:pPr>
        <w:pStyle w:val="null3"/>
        <w:ind w:firstLine="480"/>
        <w:jc w:val="both"/>
      </w:pPr>
      <w:r>
        <w:rPr>
          <w:sz w:val="24"/>
        </w:rPr>
        <w:t>5.3.2  乙方安装时须对各安装场地内的其他设备、设施有良好保护措施。</w:t>
      </w:r>
    </w:p>
    <w:p>
      <w:pPr>
        <w:pStyle w:val="null3"/>
        <w:ind w:firstLine="480"/>
        <w:jc w:val="both"/>
      </w:pPr>
      <w:r>
        <w:rPr>
          <w:sz w:val="24"/>
        </w:rPr>
        <w:t>5.4   设备的验收</w:t>
      </w:r>
    </w:p>
    <w:p>
      <w:pPr>
        <w:pStyle w:val="null3"/>
        <w:ind w:firstLine="480"/>
        <w:jc w:val="both"/>
      </w:pPr>
      <w:r>
        <w:rPr>
          <w:sz w:val="24"/>
        </w:rPr>
        <w:t>5.4.1  所有货物在开箱检验时必须完好、无破损，配置与装箱单相符。货物外观清洁，数量、质量及性能均要与乙方投标响应文件的一致。</w:t>
      </w:r>
    </w:p>
    <w:p>
      <w:pPr>
        <w:pStyle w:val="null3"/>
        <w:ind w:firstLine="480"/>
        <w:jc w:val="both"/>
      </w:pPr>
      <w:r>
        <w:rPr>
          <w:sz w:val="24"/>
        </w:rPr>
        <w:t xml:space="preserve">5.4.2  合同设备到货后安装完成且根据科室需要开展使用前培训，在正常使用后 </w:t>
      </w:r>
      <w:r>
        <w:rPr>
          <w:sz w:val="24"/>
          <w:u w:val="single"/>
        </w:rPr>
        <w:t xml:space="preserve">7 </w:t>
      </w:r>
      <w:r>
        <w:rPr>
          <w:sz w:val="24"/>
        </w:rPr>
        <w:t>个工作日内验收，验收应在甲乙双方共同参加下进行。</w:t>
      </w:r>
    </w:p>
    <w:p>
      <w:pPr>
        <w:pStyle w:val="null3"/>
        <w:ind w:firstLine="480"/>
        <w:jc w:val="both"/>
      </w:pPr>
      <w:r>
        <w:rPr>
          <w:sz w:val="24"/>
        </w:rPr>
        <w:t>5.4.3  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80"/>
        <w:jc w:val="both"/>
      </w:pPr>
      <w:r>
        <w:rPr>
          <w:sz w:val="24"/>
        </w:rPr>
        <w:t>5.4.4 如果合同设备运输和安装过程中因事故造成货物短缺、损坏，乙方应及时安排换装，以保证合同设备安装的成功完成。换货的相关费用由乙方承担。</w:t>
      </w:r>
    </w:p>
    <w:p>
      <w:pPr>
        <w:pStyle w:val="null3"/>
        <w:ind w:firstLine="480"/>
        <w:jc w:val="both"/>
      </w:pPr>
      <w:r>
        <w:rPr>
          <w:sz w:val="24"/>
        </w:rPr>
        <w:t>5.5  乙方保证合同项下提供的设备以及设备所使用的所有软件等不侵犯任何第三方的专利、商标或版权。否则，乙方须承担对第三方的专利或版权的侵权责任并承担因此而发生的所有费用。</w:t>
      </w:r>
    </w:p>
    <w:p>
      <w:pPr>
        <w:pStyle w:val="null3"/>
        <w:ind w:firstLine="480"/>
        <w:jc w:val="both"/>
      </w:pPr>
      <w:r>
        <w:rPr>
          <w:sz w:val="24"/>
        </w:rPr>
        <w:t>5.6  对大型医疗专业设备，根据国家相关法律法规要求，禁止乙方或厂家私自上传除设备运维数据以外的所有数据，厂家仅能通过设备运维数据实现设备使用情况的监测，不可获取患者相关医疗数据。否则，乙方承担所有的法律责任并承担因此而发生的所有费用。</w:t>
      </w:r>
    </w:p>
    <w:p>
      <w:pPr>
        <w:pStyle w:val="null3"/>
        <w:ind w:firstLine="482"/>
        <w:jc w:val="both"/>
      </w:pPr>
      <w:r>
        <w:rPr>
          <w:sz w:val="24"/>
          <w:b/>
        </w:rPr>
        <w:t>6.  质量保证及售后服务</w:t>
      </w:r>
    </w:p>
    <w:p>
      <w:pPr>
        <w:pStyle w:val="null3"/>
        <w:ind w:firstLine="480"/>
        <w:jc w:val="both"/>
      </w:pPr>
      <w:r>
        <w:rPr>
          <w:sz w:val="24"/>
        </w:rPr>
        <w:t>6.1  乙方保证合同设备是全新、未曾使用过的，其质量、规格及技术特征符合合同附件的要求，并提供货物的装箱清单、用户手册、保修卡、随机资料及配件、随机工具等。</w:t>
      </w:r>
    </w:p>
    <w:p>
      <w:pPr>
        <w:pStyle w:val="null3"/>
        <w:ind w:firstLine="480"/>
        <w:jc w:val="both"/>
      </w:pPr>
      <w:r>
        <w:rPr>
          <w:sz w:val="24"/>
        </w:rPr>
        <w:t>6.2 合同设备保质保用期为本项目甲方验收签字之日起</w:t>
      </w:r>
      <w:r>
        <w:rPr>
          <w:sz w:val="21"/>
          <w:u w:val="single"/>
        </w:rPr>
        <w:t xml:space="preserve">   </w:t>
      </w:r>
      <w:r>
        <w:rPr>
          <w:sz w:val="24"/>
        </w:rPr>
        <w:t>年，开机率</w:t>
      </w:r>
      <w:r>
        <w:rPr>
          <w:sz w:val="24"/>
        </w:rPr>
        <w:t>≥</w:t>
      </w:r>
      <w:r>
        <w:rPr>
          <w:sz w:val="21"/>
          <w:u w:val="single"/>
        </w:rPr>
        <w:t xml:space="preserve">  </w:t>
      </w:r>
      <w:r>
        <w:rPr>
          <w:sz w:val="24"/>
        </w:rPr>
        <w:t>%，维修若需要更换配件，所提供配件为原产配件提供生产厂家售后服务承诺书，零配件供应</w:t>
      </w:r>
      <w:r>
        <w:rPr>
          <w:sz w:val="21"/>
          <w:u w:val="single"/>
        </w:rPr>
        <w:t xml:space="preserve">  </w:t>
      </w:r>
      <w:r>
        <w:rPr>
          <w:sz w:val="24"/>
        </w:rPr>
        <w:t>年。保质保用期内非因甲方的人为原因而出现产品质量及安装问题，由乙方负责包修、包换或包退，并承担因此而产生的一切费用。乙方应在收到甲方通知后按甲方要求派员到现场维修，响应时间</w:t>
      </w:r>
      <w:r>
        <w:rPr>
          <w:sz w:val="24"/>
        </w:rPr>
        <w:t>≤</w:t>
      </w:r>
      <w:r>
        <w:rPr>
          <w:sz w:val="21"/>
          <w:u w:val="single"/>
        </w:rPr>
        <w:t xml:space="preserve">  </w:t>
      </w:r>
      <w:r>
        <w:rPr>
          <w:sz w:val="24"/>
        </w:rPr>
        <w:t>小时，到场维修时间</w:t>
      </w:r>
      <w:r>
        <w:rPr>
          <w:sz w:val="24"/>
        </w:rPr>
        <w:t>≤</w:t>
      </w:r>
      <w:r>
        <w:rPr>
          <w:sz w:val="21"/>
          <w:u w:val="single"/>
        </w:rPr>
        <w:t xml:space="preserve">  </w:t>
      </w:r>
      <w:r>
        <w:rPr>
          <w:sz w:val="24"/>
        </w:rPr>
        <w:t>小时。（售后服务由乙方及厂家负责）</w:t>
      </w:r>
    </w:p>
    <w:p>
      <w:pPr>
        <w:pStyle w:val="null3"/>
        <w:ind w:firstLine="480"/>
        <w:jc w:val="both"/>
      </w:pPr>
      <w:r>
        <w:rPr>
          <w:sz w:val="24"/>
        </w:rPr>
        <w:t>6.3 因设备的质量问题而发生争议，由广东省或广州市质检部门进行质量鉴定。设备符合质量标准的，鉴定费用由甲方承担；设备不符合质量标准的，鉴定费用由乙方承担。</w:t>
      </w:r>
    </w:p>
    <w:p>
      <w:pPr>
        <w:pStyle w:val="null3"/>
        <w:ind w:firstLine="480"/>
        <w:jc w:val="both"/>
      </w:pPr>
      <w:r>
        <w:rPr>
          <w:sz w:val="24"/>
        </w:rPr>
        <w:t>6.4  乙方无偿对甲方使用人员进行操作示范并至甲方熟练为止，主要内容为设备的基本结构、性能、主要部件的构造及修理，日常使用保养与管理，常见故障的排除，紧急情况的处理等，示范地点在设备安装现场或按甲方安排。</w:t>
      </w:r>
    </w:p>
    <w:p>
      <w:pPr>
        <w:pStyle w:val="null3"/>
        <w:ind w:firstLine="480"/>
        <w:jc w:val="both"/>
      </w:pPr>
      <w:r>
        <w:rPr>
          <w:sz w:val="24"/>
        </w:rPr>
        <w:t>6.5  保质保用期内，乙方提供每年</w:t>
      </w:r>
      <w:r>
        <w:rPr>
          <w:sz w:val="21"/>
          <w:u w:val="single"/>
        </w:rPr>
        <w:t xml:space="preserve">   </w:t>
      </w:r>
      <w:r>
        <w:rPr>
          <w:sz w:val="24"/>
        </w:rPr>
        <w:t>次的设备巡检巡查服务，指导和配合甲方开展设备质量管理工作。</w:t>
      </w:r>
    </w:p>
    <w:p>
      <w:pPr>
        <w:pStyle w:val="null3"/>
        <w:ind w:firstLine="482"/>
        <w:jc w:val="both"/>
      </w:pPr>
      <w:r>
        <w:rPr>
          <w:sz w:val="24"/>
          <w:b/>
        </w:rPr>
        <w:t>7. 付款办法</w:t>
      </w:r>
    </w:p>
    <w:p>
      <w:pPr>
        <w:pStyle w:val="null3"/>
        <w:ind w:firstLine="480"/>
        <w:jc w:val="both"/>
      </w:pPr>
      <w:r>
        <w:rPr>
          <w:sz w:val="24"/>
        </w:rPr>
        <w:t>每笔款项以人民币方式支付，支付的时间和金额如下：</w:t>
      </w:r>
    </w:p>
    <w:p>
      <w:pPr>
        <w:pStyle w:val="null3"/>
        <w:ind w:firstLine="480"/>
        <w:jc w:val="both"/>
      </w:pPr>
      <w:r>
        <w:rPr>
          <w:sz w:val="24"/>
        </w:rPr>
        <w:t>7.1 乙方将合同设备全部运送到指定地点交付并完成安装及验收后，凭：</w:t>
      </w:r>
    </w:p>
    <w:p>
      <w:pPr>
        <w:pStyle w:val="null3"/>
        <w:ind w:firstLine="480"/>
        <w:jc w:val="both"/>
      </w:pPr>
      <w:r>
        <w:rPr>
          <w:sz w:val="24"/>
        </w:rPr>
        <w:t>（</w:t>
      </w:r>
      <w:r>
        <w:rPr>
          <w:sz w:val="24"/>
        </w:rPr>
        <w:t>1）乙方开具的正式发票；</w:t>
      </w:r>
    </w:p>
    <w:p>
      <w:pPr>
        <w:pStyle w:val="null3"/>
        <w:ind w:firstLine="480"/>
        <w:jc w:val="both"/>
      </w:pPr>
      <w:r>
        <w:rPr>
          <w:sz w:val="24"/>
        </w:rPr>
        <w:t>（</w:t>
      </w:r>
      <w:r>
        <w:rPr>
          <w:sz w:val="24"/>
        </w:rPr>
        <w:t>2）进关审批单、商检证明复印件(按国家相关规定提供)；</w:t>
      </w:r>
    </w:p>
    <w:p>
      <w:pPr>
        <w:pStyle w:val="null3"/>
        <w:ind w:firstLine="480"/>
        <w:jc w:val="both"/>
      </w:pPr>
      <w:r>
        <w:rPr>
          <w:sz w:val="24"/>
        </w:rPr>
        <w:t>（</w:t>
      </w:r>
      <w:r>
        <w:rPr>
          <w:sz w:val="24"/>
        </w:rPr>
        <w:t>3）安装验收报告；</w:t>
      </w:r>
    </w:p>
    <w:p>
      <w:pPr>
        <w:pStyle w:val="null3"/>
        <w:ind w:firstLine="480"/>
        <w:jc w:val="both"/>
      </w:pPr>
      <w:r>
        <w:rPr>
          <w:sz w:val="24"/>
        </w:rPr>
        <w:t>（</w:t>
      </w:r>
      <w:r>
        <w:rPr>
          <w:sz w:val="24"/>
        </w:rPr>
        <w:t>4）操作规程（使用科室、医疗设备科各存一份）；</w:t>
      </w:r>
    </w:p>
    <w:p>
      <w:pPr>
        <w:pStyle w:val="null3"/>
        <w:ind w:firstLine="480"/>
        <w:jc w:val="both"/>
      </w:pPr>
      <w:r>
        <w:rPr>
          <w:sz w:val="24"/>
        </w:rPr>
        <w:t>（</w:t>
      </w:r>
      <w:r>
        <w:rPr>
          <w:sz w:val="24"/>
        </w:rPr>
        <w:t>5）维护保养细则（使用科室、医疗设备科各存一份）；</w:t>
      </w:r>
    </w:p>
    <w:p>
      <w:pPr>
        <w:pStyle w:val="null3"/>
        <w:ind w:firstLine="480"/>
        <w:jc w:val="both"/>
      </w:pPr>
      <w:r>
        <w:rPr>
          <w:sz w:val="24"/>
        </w:rPr>
        <w:t>（</w:t>
      </w:r>
      <w:r>
        <w:rPr>
          <w:sz w:val="24"/>
        </w:rPr>
        <w:t>6）提供有效期内的由计量部门出具的检定（校准）报告（计量设备要求提供）；</w:t>
      </w:r>
    </w:p>
    <w:p>
      <w:pPr>
        <w:pStyle w:val="null3"/>
        <w:ind w:firstLine="480"/>
        <w:jc w:val="both"/>
      </w:pPr>
      <w:r>
        <w:rPr>
          <w:sz w:val="24"/>
        </w:rPr>
        <w:t>7.2 由甲方在</w:t>
      </w:r>
      <w:r>
        <w:rPr>
          <w:sz w:val="24"/>
          <w:u w:val="single"/>
        </w:rPr>
        <w:t xml:space="preserve"> </w:t>
      </w:r>
      <w:r>
        <w:rPr>
          <w:sz w:val="24"/>
          <w:u w:val="single"/>
        </w:rPr>
        <w:t>六</w:t>
      </w:r>
      <w:r>
        <w:rPr>
          <w:sz w:val="24"/>
        </w:rPr>
        <w:t>个月内将合同全额货款付给乙方，即</w:t>
      </w:r>
      <w:r>
        <w:rPr>
          <w:sz w:val="24"/>
          <w:u w:val="single"/>
        </w:rPr>
        <w:t xml:space="preserve">RMB￥  </w:t>
      </w:r>
      <w:r>
        <w:rPr>
          <w:sz w:val="24"/>
        </w:rPr>
        <w:t>元。</w:t>
      </w:r>
    </w:p>
    <w:p>
      <w:pPr>
        <w:pStyle w:val="null3"/>
        <w:jc w:val="both"/>
      </w:pPr>
      <w:r>
        <w:rPr>
          <w:sz w:val="24"/>
          <w:b/>
        </w:rPr>
        <w:t>8. 技术服务</w:t>
      </w:r>
    </w:p>
    <w:p>
      <w:pPr>
        <w:pStyle w:val="null3"/>
        <w:ind w:firstLine="480"/>
        <w:jc w:val="both"/>
      </w:pPr>
      <w:r>
        <w:rPr>
          <w:sz w:val="24"/>
        </w:rPr>
        <w:t>8.1 乙方应派员到甲方指定地点配合工作。</w:t>
      </w:r>
    </w:p>
    <w:p>
      <w:pPr>
        <w:pStyle w:val="null3"/>
        <w:ind w:firstLine="480"/>
        <w:jc w:val="both"/>
      </w:pPr>
      <w:r>
        <w:rPr>
          <w:sz w:val="24"/>
        </w:rPr>
        <w:t>8.2 乙方按甲方提供的合同执行进度计划，再配合甲方及有关单位，以此做好合同执行进度上的配合工作。</w:t>
      </w:r>
    </w:p>
    <w:p>
      <w:pPr>
        <w:pStyle w:val="null3"/>
        <w:ind w:firstLine="482"/>
        <w:jc w:val="both"/>
      </w:pPr>
      <w:r>
        <w:rPr>
          <w:sz w:val="24"/>
          <w:b/>
        </w:rPr>
        <w:t>9. 不可抗力</w:t>
      </w:r>
    </w:p>
    <w:p>
      <w:pPr>
        <w:pStyle w:val="null3"/>
        <w:ind w:firstLine="480"/>
        <w:jc w:val="both"/>
      </w:pPr>
      <w:r>
        <w:rPr>
          <w:sz w:val="24"/>
        </w:rPr>
        <w:t>9.1 不可抗力指战争、严重火灾、洪水、台风、地震等或其它双方认定的不可抗力事件。</w:t>
      </w:r>
    </w:p>
    <w:p>
      <w:pPr>
        <w:pStyle w:val="null3"/>
        <w:ind w:firstLine="480"/>
        <w:jc w:val="both"/>
      </w:pPr>
      <w:r>
        <w:rPr>
          <w:sz w:val="24"/>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82"/>
        <w:jc w:val="both"/>
      </w:pPr>
      <w:r>
        <w:rPr>
          <w:sz w:val="24"/>
          <w:b/>
        </w:rPr>
        <w:t>10. 索赔</w:t>
      </w:r>
    </w:p>
    <w:p>
      <w:pPr>
        <w:pStyle w:val="null3"/>
        <w:ind w:firstLine="480"/>
        <w:jc w:val="both"/>
      </w:pPr>
      <w:r>
        <w:rPr>
          <w:sz w:val="24"/>
        </w:rPr>
        <w:t>10.1如有异议，甲方有权根据有关政府部门的检验结果向乙方提出索赔。</w:t>
      </w:r>
    </w:p>
    <w:p>
      <w:pPr>
        <w:pStyle w:val="null3"/>
        <w:ind w:firstLine="480"/>
        <w:jc w:val="both"/>
      </w:pPr>
      <w:r>
        <w:rPr>
          <w:sz w:val="24"/>
        </w:rPr>
        <w:t>10.2在合同执行期间，如果乙方对甲方提出的索赔和差异负有责任，乙方应按照甲方同意的下列一种或多种方式解决索赔事宜：</w:t>
      </w:r>
    </w:p>
    <w:p>
      <w:pPr>
        <w:pStyle w:val="null3"/>
        <w:ind w:firstLine="480"/>
        <w:jc w:val="both"/>
      </w:pPr>
      <w:r>
        <w:rPr>
          <w:sz w:val="24"/>
        </w:rPr>
        <w:t>（</w:t>
      </w:r>
      <w:r>
        <w:rPr>
          <w:sz w:val="24"/>
        </w:rPr>
        <w:t>1）乙方同意退货，并按合同规定的同种货币将全额货款退还给甲方，并承担由此发生的一切损失和费用。</w:t>
      </w:r>
    </w:p>
    <w:p>
      <w:pPr>
        <w:pStyle w:val="null3"/>
        <w:ind w:firstLine="480"/>
        <w:jc w:val="both"/>
      </w:pPr>
      <w:r>
        <w:rPr>
          <w:sz w:val="24"/>
        </w:rPr>
        <w:t>（</w:t>
      </w:r>
      <w:r>
        <w:rPr>
          <w:sz w:val="24"/>
        </w:rPr>
        <w:t>2）根据货物低劣程度、损坏程度以及甲方所遭受损失的数额甲乙双方商定降低货物的价格。</w:t>
      </w:r>
    </w:p>
    <w:p>
      <w:pPr>
        <w:pStyle w:val="null3"/>
        <w:ind w:firstLine="480"/>
        <w:jc w:val="both"/>
      </w:pPr>
      <w:r>
        <w:rPr>
          <w:sz w:val="24"/>
        </w:rPr>
        <w:t>（</w:t>
      </w:r>
      <w:r>
        <w:rPr>
          <w:sz w:val="24"/>
        </w:rPr>
        <w:t>3）用符合规格、质量和性能要求的新零件、部件或货物来更换有缺陷的部分或修补缺陷的部分，乙方应承担一切费用和风险并负担甲方所发生的一切直接费用。同时，相应延长质量保证期。</w:t>
      </w:r>
    </w:p>
    <w:p>
      <w:pPr>
        <w:pStyle w:val="null3"/>
        <w:ind w:firstLine="48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482"/>
        <w:jc w:val="both"/>
      </w:pPr>
      <w:r>
        <w:rPr>
          <w:sz w:val="24"/>
          <w:b/>
        </w:rPr>
        <w:t>11.违约与处罚</w:t>
      </w:r>
    </w:p>
    <w:p>
      <w:pPr>
        <w:pStyle w:val="null3"/>
        <w:ind w:firstLine="480"/>
        <w:jc w:val="both"/>
      </w:pPr>
      <w:r>
        <w:rPr>
          <w:sz w:val="24"/>
        </w:rPr>
        <w:t>11.1甲方逾期付款的，按逾期付款部分计算，按照每日3‰的比例向乙方偿付逾期付款的违约金，该违约金总额不超过逾期付款部分总价的5％。</w:t>
      </w:r>
    </w:p>
    <w:p>
      <w:pPr>
        <w:pStyle w:val="null3"/>
        <w:ind w:firstLine="480"/>
        <w:jc w:val="both"/>
      </w:pPr>
      <w:r>
        <w:rPr>
          <w:sz w:val="24"/>
        </w:rPr>
        <w:t>11.2乙方未能按时交货，每拖延1天，须向甲方支付合同金额的3‰的违约金，该违约金总额不超过合同总价的10％。</w:t>
      </w:r>
    </w:p>
    <w:p>
      <w:pPr>
        <w:pStyle w:val="null3"/>
        <w:ind w:firstLine="480"/>
        <w:jc w:val="both"/>
      </w:pPr>
      <w:r>
        <w:rPr>
          <w:sz w:val="24"/>
        </w:rPr>
        <w:t>11.3 乙方交付的货物不符合合同规定的，甲方有权拒收，乙方向甲方支付合同金额的5%的违约金。</w:t>
      </w:r>
    </w:p>
    <w:p>
      <w:pPr>
        <w:pStyle w:val="null3"/>
        <w:ind w:firstLine="480"/>
        <w:jc w:val="both"/>
      </w:pPr>
      <w:r>
        <w:rPr>
          <w:sz w:val="24"/>
        </w:rPr>
        <w:t>11.4 甲方无正当理由拒收货物的，甲方向乙方支付合同金额的5%的违约金。</w:t>
      </w:r>
    </w:p>
    <w:p>
      <w:pPr>
        <w:pStyle w:val="null3"/>
        <w:ind w:firstLine="482"/>
        <w:jc w:val="both"/>
      </w:pPr>
      <w:r>
        <w:rPr>
          <w:sz w:val="24"/>
          <w:b/>
        </w:rPr>
        <w:t>12 合同终止</w:t>
      </w:r>
    </w:p>
    <w:p>
      <w:pPr>
        <w:pStyle w:val="null3"/>
        <w:ind w:firstLine="480"/>
        <w:jc w:val="both"/>
      </w:pPr>
      <w:r>
        <w:rPr>
          <w:sz w:val="24"/>
        </w:rPr>
        <w:t>如果一方严重违反合同，并在收到对方违约通知书后在</w:t>
      </w:r>
      <w:r>
        <w:rPr>
          <w:sz w:val="24"/>
        </w:rPr>
        <w:t>30天内仍未能改正违约的，另一方可立即终止本合同。乙方退回甲方已付款项。</w:t>
      </w:r>
    </w:p>
    <w:p>
      <w:pPr>
        <w:pStyle w:val="null3"/>
        <w:ind w:firstLine="482"/>
        <w:jc w:val="both"/>
      </w:pPr>
      <w:r>
        <w:rPr>
          <w:sz w:val="24"/>
          <w:b/>
        </w:rPr>
        <w:t>13.法律诉讼</w:t>
      </w:r>
    </w:p>
    <w:p>
      <w:pPr>
        <w:pStyle w:val="null3"/>
        <w:ind w:firstLine="480"/>
        <w:jc w:val="both"/>
      </w:pPr>
      <w:r>
        <w:rPr>
          <w:sz w:val="24"/>
        </w:rPr>
        <w:t>签约双方在履约中发生争执和分歧，双方应通过友好协商解决，若经协商不能达成协议时，则向合同履行地人民法院提起诉讼。受理期间，双方应继续执行合同其余部分。</w:t>
      </w:r>
    </w:p>
    <w:p>
      <w:pPr>
        <w:pStyle w:val="null3"/>
        <w:ind w:firstLine="482"/>
        <w:jc w:val="both"/>
      </w:pPr>
      <w:r>
        <w:rPr>
          <w:sz w:val="24"/>
          <w:b/>
        </w:rPr>
        <w:t>14.通知与送达</w:t>
      </w:r>
    </w:p>
    <w:p>
      <w:pPr>
        <w:pStyle w:val="null3"/>
        <w:ind w:firstLine="480"/>
        <w:jc w:val="both"/>
      </w:pPr>
      <w:r>
        <w:rPr>
          <w:sz w:val="24"/>
        </w:rPr>
        <w:t>14.1 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后即视为送达。</w:t>
      </w:r>
    </w:p>
    <w:p>
      <w:pPr>
        <w:pStyle w:val="null3"/>
        <w:ind w:firstLine="482"/>
        <w:jc w:val="both"/>
      </w:pPr>
      <w:r>
        <w:rPr>
          <w:sz w:val="24"/>
          <w:b/>
        </w:rPr>
        <w:t>15.其他</w:t>
      </w:r>
    </w:p>
    <w:p>
      <w:pPr>
        <w:pStyle w:val="null3"/>
        <w:ind w:firstLine="480"/>
        <w:jc w:val="both"/>
      </w:pPr>
      <w:r>
        <w:rPr>
          <w:sz w:val="24"/>
        </w:rPr>
        <w:t>15.1本合同共3份，具有同等法律效力，甲、乙双方各执1份，招标代理公司1份，合同自签字之日起即时生效。</w:t>
      </w:r>
    </w:p>
    <w:p>
      <w:pPr>
        <w:pStyle w:val="null3"/>
        <w:ind w:firstLine="480"/>
        <w:jc w:val="both"/>
      </w:pPr>
      <w:r>
        <w:rPr>
          <w:sz w:val="24"/>
        </w:rPr>
        <w:t>15.2本合同末尽事宜，由双方协商处理。</w:t>
      </w:r>
    </w:p>
    <w:p>
      <w:pPr>
        <w:pStyle w:val="null3"/>
        <w:jc w:val="both"/>
      </w:pPr>
      <w:r>
        <w:rPr>
          <w:sz w:val="24"/>
          <w:b/>
        </w:rPr>
        <w:t>甲方：广州医科大学附属第三医院</w:t>
      </w:r>
      <w:r>
        <w:rPr>
          <w:sz w:val="24"/>
          <w:b/>
        </w:rPr>
        <w:t xml:space="preserve">         </w:t>
      </w:r>
      <w:r>
        <w:rPr>
          <w:sz w:val="24"/>
          <w:b/>
        </w:rPr>
        <w:t>乙方：</w:t>
      </w:r>
    </w:p>
    <w:p>
      <w:pPr>
        <w:pStyle w:val="null3"/>
        <w:jc w:val="both"/>
      </w:pPr>
      <w:r>
        <w:rPr>
          <w:sz w:val="24"/>
          <w:b/>
        </w:rPr>
        <w:t>法人</w:t>
      </w:r>
      <w:r>
        <w:rPr>
          <w:sz w:val="24"/>
          <w:b/>
        </w:rPr>
        <w:t>代表：</w:t>
      </w:r>
      <w:r>
        <w:rPr>
          <w:sz w:val="24"/>
          <w:b/>
        </w:rPr>
        <w:t xml:space="preserve">                     </w:t>
      </w:r>
      <w:r>
        <w:rPr>
          <w:sz w:val="21"/>
          <w:b/>
        </w:rPr>
        <w:t xml:space="preserve">       </w:t>
      </w:r>
      <w:r>
        <w:rPr>
          <w:sz w:val="24"/>
          <w:b/>
        </w:rPr>
        <w:t>法人</w:t>
      </w:r>
      <w:r>
        <w:rPr>
          <w:sz w:val="24"/>
          <w:b/>
        </w:rPr>
        <w:t>代表：</w:t>
      </w:r>
    </w:p>
    <w:p>
      <w:pPr>
        <w:pStyle w:val="null3"/>
        <w:jc w:val="both"/>
      </w:pPr>
      <w:r>
        <w:rPr>
          <w:sz w:val="24"/>
          <w:b/>
        </w:rPr>
        <w:t>或</w:t>
      </w:r>
      <w:r>
        <w:rPr>
          <w:sz w:val="24"/>
          <w:b/>
        </w:rPr>
        <w:t>签约</w:t>
      </w:r>
      <w:r>
        <w:rPr>
          <w:sz w:val="24"/>
          <w:b/>
        </w:rPr>
        <w:t>代表：</w:t>
      </w:r>
      <w:r>
        <w:rPr>
          <w:sz w:val="24"/>
          <w:b/>
        </w:rPr>
        <w:t xml:space="preserve">                   </w:t>
      </w:r>
      <w:r>
        <w:rPr>
          <w:sz w:val="21"/>
          <w:b/>
        </w:rPr>
        <w:t xml:space="preserve">      </w:t>
      </w:r>
      <w:r>
        <w:rPr>
          <w:sz w:val="24"/>
          <w:b/>
        </w:rPr>
        <w:t>或</w:t>
      </w:r>
      <w:r>
        <w:rPr>
          <w:sz w:val="24"/>
          <w:b/>
        </w:rPr>
        <w:t>签约</w:t>
      </w:r>
      <w:r>
        <w:rPr>
          <w:sz w:val="24"/>
          <w:b/>
        </w:rPr>
        <w:t>代表：</w:t>
      </w:r>
    </w:p>
    <w:p>
      <w:pPr>
        <w:pStyle w:val="null3"/>
        <w:jc w:val="both"/>
      </w:pPr>
      <w:r>
        <w:rPr>
          <w:sz w:val="24"/>
          <w:b/>
        </w:rPr>
        <w:t>地址：广州市荔湾区多宝路</w:t>
      </w:r>
      <w:r>
        <w:rPr>
          <w:sz w:val="24"/>
          <w:b/>
        </w:rPr>
        <w:t>63号          地址：</w:t>
      </w:r>
    </w:p>
    <w:p>
      <w:pPr>
        <w:pStyle w:val="null3"/>
        <w:jc w:val="both"/>
      </w:pPr>
      <w:r>
        <w:rPr>
          <w:sz w:val="24"/>
          <w:b/>
        </w:rPr>
        <w:t>电话：</w:t>
      </w:r>
      <w:r>
        <w:rPr>
          <w:sz w:val="24"/>
          <w:b/>
        </w:rPr>
        <w:t>020-81292669                     电话：</w:t>
      </w:r>
    </w:p>
    <w:p>
      <w:pPr>
        <w:pStyle w:val="null3"/>
        <w:jc w:val="both"/>
      </w:pPr>
      <w:r>
        <w:rPr>
          <w:sz w:val="24"/>
          <w:b/>
        </w:rPr>
        <w:t>传真：</w:t>
      </w:r>
      <w:r>
        <w:rPr>
          <w:sz w:val="24"/>
          <w:b/>
        </w:rPr>
        <w:t>020-81292669                     传真：</w:t>
      </w:r>
    </w:p>
    <w:p>
      <w:pPr>
        <w:pStyle w:val="null3"/>
        <w:jc w:val="both"/>
      </w:pPr>
      <w:r>
        <w:rPr>
          <w:sz w:val="24"/>
          <w:b/>
        </w:rPr>
        <w:t>签约日期：</w:t>
      </w:r>
      <w:r>
        <w:rPr>
          <w:sz w:val="24"/>
          <w:b/>
        </w:rPr>
        <w:t>20  年 月 日                 签约日期：20  年 月 日</w:t>
      </w:r>
    </w:p>
    <w:p>
      <w:pPr>
        <w:pStyle w:val="null3"/>
        <w:jc w:val="both"/>
      </w:pPr>
      <w:r>
        <w:rPr>
          <w:sz w:val="24"/>
          <w:b/>
        </w:rPr>
        <w:t>签约地点：</w:t>
      </w:r>
      <w:r>
        <w:rPr>
          <w:sz w:val="21"/>
          <w:b/>
        </w:rPr>
        <w:t>广州市</w:t>
      </w:r>
      <w:r>
        <w:rPr>
          <w:sz w:val="24"/>
          <w:b/>
        </w:rPr>
        <w:t xml:space="preserve">                        </w:t>
      </w:r>
      <w:r>
        <w:rPr>
          <w:sz w:val="24"/>
          <w:b/>
        </w:rPr>
        <w:t>开户银行：</w:t>
      </w:r>
    </w:p>
    <w:p>
      <w:pPr>
        <w:pStyle w:val="null3"/>
        <w:ind w:firstLine="4819"/>
        <w:jc w:val="both"/>
      </w:pPr>
      <w:r>
        <w:rPr>
          <w:sz w:val="24"/>
          <w:b/>
        </w:rPr>
        <w:t>账</w:t>
      </w:r>
      <w:r>
        <w:rPr>
          <w:sz w:val="24"/>
          <w:b/>
        </w:rPr>
        <w:t>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440101-2024-19970</w:t>
      </w:r>
    </w:p>
    <w:p>
      <w:pPr>
        <w:pStyle w:val="null3"/>
        <w:jc w:val="center"/>
        <w:outlineLvl w:val="3"/>
      </w:pPr>
      <w:r>
        <w:rPr>
          <w:sz w:val="24"/>
          <w:b/>
        </w:rPr>
        <w:t>采购项目编号：</w:t>
      </w:r>
      <w:r>
        <w:rPr>
          <w:sz w:val="24"/>
          <w:b/>
        </w:rPr>
        <w:t>3587-2412GZG10908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广州医科大学附属第三医院二氧化碳培养箱、荧光定量PCR仪、生物安全柜采购项目</w:t>
      </w:r>
      <w:r>
        <w:rPr>
          <w:u w:val="single"/>
        </w:rPr>
        <w:t>”</w:t>
      </w:r>
      <w:r>
        <w:rPr/>
        <w:t>项目的招标[采购项目编号为：</w:t>
      </w:r>
      <w:r>
        <w:rPr>
          <w:u w:val="single"/>
        </w:rPr>
        <w:t>3587-2412GZG10908</w:t>
      </w:r>
      <w:r>
        <w:rPr/>
        <w:t>]，我方愿参与投标。</w:t>
      </w:r>
    </w:p>
    <w:p>
      <w:pPr>
        <w:pStyle w:val="null3"/>
        <w:ind w:firstLine="480"/>
      </w:pPr>
      <w:r>
        <w:rPr/>
        <w:t>我方确认收到贵方提供的</w:t>
      </w:r>
      <w:r>
        <w:rPr>
          <w:u w:val="single"/>
        </w:rPr>
        <w:t>“</w:t>
      </w:r>
      <w:r>
        <w:rPr>
          <w:u w:val="single"/>
        </w:rPr>
        <w:t>广州医科大学附属第三医院二氧化碳培养箱、荧光定量PCR仪、生物安全柜采购项目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广州医科大学附属第三医院二氧化碳培养箱、荧光定量PCR仪、生物安全柜采购项目</w:t>
      </w:r>
      <w:r>
        <w:rPr/>
        <w:t>”项目采购[采购项目编号为</w:t>
      </w:r>
      <w:r>
        <w:rPr/>
        <w:t>3587-2412GZG10908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广州医科大学附属第三医院二氧化碳培养箱、荧光定量PCR仪、生物安全柜采购项目</w:t>
      </w:r>
      <w:r>
        <w:rPr/>
        <w:t>招标中获中标（采购项目编号：</w:t>
      </w:r>
      <w:r>
        <w:rPr/>
        <w:t>3587-2412GZG10908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